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633" w:rsidRPr="00D810C1" w:rsidRDefault="00D81633" w:rsidP="00D81633">
      <w:pPr>
        <w:widowControl w:val="0"/>
        <w:ind w:left="7230"/>
        <w:jc w:val="both"/>
        <w:rPr>
          <w:color w:val="000000"/>
          <w:lang w:val="uk-UA"/>
        </w:rPr>
      </w:pPr>
      <w:r>
        <w:rPr>
          <w:color w:val="000000"/>
          <w:lang w:val="uk-UA"/>
        </w:rPr>
        <w:t xml:space="preserve">Додаток 2 </w:t>
      </w:r>
      <w:r w:rsidRPr="00D810C1">
        <w:rPr>
          <w:color w:val="000000"/>
          <w:lang w:val="uk-UA"/>
        </w:rPr>
        <w:t xml:space="preserve">до тендерної </w:t>
      </w:r>
      <w:r>
        <w:rPr>
          <w:color w:val="000000"/>
          <w:lang w:val="uk-UA"/>
        </w:rPr>
        <w:t xml:space="preserve"> </w:t>
      </w:r>
      <w:r w:rsidRPr="00D810C1">
        <w:rPr>
          <w:color w:val="000000"/>
          <w:lang w:val="uk-UA"/>
        </w:rPr>
        <w:t xml:space="preserve">документації </w:t>
      </w:r>
    </w:p>
    <w:p w:rsidR="00D81633" w:rsidRDefault="00D81633" w:rsidP="00D81633">
      <w:pPr>
        <w:widowControl w:val="0"/>
        <w:ind w:firstLine="709"/>
        <w:jc w:val="both"/>
        <w:rPr>
          <w:color w:val="000000"/>
          <w:sz w:val="20"/>
          <w:szCs w:val="20"/>
          <w:lang w:val="uk-UA"/>
        </w:rPr>
      </w:pPr>
    </w:p>
    <w:p w:rsidR="00D81633" w:rsidRPr="00D810C1" w:rsidRDefault="00D81633" w:rsidP="00D81633">
      <w:pPr>
        <w:widowControl w:val="0"/>
        <w:ind w:firstLine="709"/>
        <w:jc w:val="both"/>
        <w:rPr>
          <w:color w:val="000000"/>
          <w:sz w:val="20"/>
          <w:szCs w:val="20"/>
          <w:lang w:val="uk-UA"/>
        </w:rPr>
      </w:pPr>
    </w:p>
    <w:p w:rsidR="00D81633" w:rsidRPr="00AE7408" w:rsidRDefault="00D81633" w:rsidP="00D81633">
      <w:pPr>
        <w:widowControl w:val="0"/>
        <w:jc w:val="center"/>
        <w:rPr>
          <w:b/>
          <w:color w:val="000000"/>
          <w:lang w:val="uk-UA"/>
        </w:rPr>
      </w:pPr>
      <w:r w:rsidRPr="00AE7408">
        <w:rPr>
          <w:b/>
          <w:color w:val="000000"/>
          <w:lang w:val="uk-UA"/>
        </w:rPr>
        <w:t xml:space="preserve">Інформація </w:t>
      </w:r>
    </w:p>
    <w:p w:rsidR="00D81633" w:rsidRPr="00AE7408" w:rsidRDefault="00D81633" w:rsidP="00D81633">
      <w:pPr>
        <w:widowControl w:val="0"/>
        <w:jc w:val="center"/>
        <w:rPr>
          <w:b/>
          <w:lang w:val="uk-UA"/>
        </w:rPr>
      </w:pPr>
      <w:r w:rsidRPr="00AE7408">
        <w:rPr>
          <w:b/>
          <w:color w:val="000000"/>
          <w:lang w:val="uk-UA"/>
        </w:rPr>
        <w:t>про необхідні технічні, якісні та кількісні характеристики предмета закупівлі</w:t>
      </w:r>
      <w:r w:rsidRPr="00AE7408">
        <w:rPr>
          <w:b/>
          <w:lang w:val="uk-UA"/>
        </w:rPr>
        <w:t xml:space="preserve"> </w:t>
      </w:r>
    </w:p>
    <w:p w:rsidR="00D81633" w:rsidRPr="00AE7408" w:rsidRDefault="00D81633" w:rsidP="00D81633">
      <w:pPr>
        <w:widowControl w:val="0"/>
        <w:jc w:val="center"/>
        <w:rPr>
          <w:b/>
          <w:lang w:val="uk-UA"/>
        </w:rPr>
      </w:pPr>
      <w:r w:rsidRPr="00AE7408">
        <w:rPr>
          <w:b/>
          <w:lang w:val="uk-UA"/>
        </w:rPr>
        <w:t>(</w:t>
      </w:r>
      <w:r>
        <w:rPr>
          <w:b/>
          <w:lang w:val="uk-UA"/>
        </w:rPr>
        <w:t xml:space="preserve">технічна </w:t>
      </w:r>
      <w:r w:rsidRPr="00AE7408">
        <w:rPr>
          <w:b/>
          <w:lang w:val="uk-UA"/>
        </w:rPr>
        <w:t>специфікація товару)</w:t>
      </w:r>
    </w:p>
    <w:p w:rsidR="00D81633" w:rsidRPr="00D810C1" w:rsidRDefault="00D81633" w:rsidP="00D81633">
      <w:pPr>
        <w:widowControl w:val="0"/>
        <w:jc w:val="center"/>
        <w:rPr>
          <w:b/>
          <w:sz w:val="28"/>
          <w:szCs w:val="28"/>
          <w:lang w:val="uk-UA"/>
        </w:rPr>
      </w:pPr>
    </w:p>
    <w:p w:rsidR="00D81633" w:rsidRPr="00D810C1" w:rsidRDefault="00D81633" w:rsidP="00D81633">
      <w:pPr>
        <w:widowControl w:val="0"/>
        <w:numPr>
          <w:ilvl w:val="0"/>
          <w:numId w:val="1"/>
        </w:numPr>
        <w:spacing w:after="150"/>
        <w:ind w:firstLine="66"/>
        <w:rPr>
          <w:rStyle w:val="a3"/>
          <w:color w:val="121212"/>
          <w:lang w:val="uk-UA"/>
        </w:rPr>
      </w:pPr>
      <w:r w:rsidRPr="00D810C1">
        <w:rPr>
          <w:rStyle w:val="a3"/>
          <w:b w:val="0"/>
          <w:color w:val="121212"/>
          <w:lang w:val="uk-UA"/>
        </w:rPr>
        <w:t>Предмет закупівлі:</w:t>
      </w:r>
      <w:r w:rsidRPr="00D810C1">
        <w:rPr>
          <w:rStyle w:val="a3"/>
          <w:color w:val="121212"/>
          <w:lang w:val="uk-UA"/>
        </w:rPr>
        <w:t xml:space="preserve"> </w:t>
      </w:r>
      <w:r w:rsidRPr="000B4707">
        <w:rPr>
          <w:b/>
          <w:lang w:val="uk-UA"/>
        </w:rPr>
        <w:t xml:space="preserve">товар </w:t>
      </w:r>
      <w:r>
        <w:rPr>
          <w:b/>
          <w:lang w:val="uk-UA"/>
        </w:rPr>
        <w:t>Дизельне паливо</w:t>
      </w:r>
      <w:r w:rsidRPr="00D810C1">
        <w:rPr>
          <w:b/>
          <w:lang w:val="uk-UA"/>
        </w:rPr>
        <w:t xml:space="preserve"> (код за ДК 021:2015 </w:t>
      </w:r>
      <w:r>
        <w:rPr>
          <w:b/>
          <w:lang w:val="uk-UA"/>
        </w:rPr>
        <w:t>–</w:t>
      </w:r>
      <w:r w:rsidRPr="00D810C1">
        <w:rPr>
          <w:b/>
          <w:lang w:val="uk-UA"/>
        </w:rPr>
        <w:t xml:space="preserve"> </w:t>
      </w:r>
      <w:r w:rsidRPr="009F4B72">
        <w:rPr>
          <w:b/>
          <w:lang w:val="uk-UA"/>
        </w:rPr>
        <w:t>09130000-9 – Нафта і дистиляти</w:t>
      </w:r>
      <w:r w:rsidRPr="00D810C1">
        <w:rPr>
          <w:b/>
          <w:lang w:val="uk-UA"/>
        </w:rPr>
        <w:t>)</w:t>
      </w:r>
      <w:r w:rsidRPr="00D810C1">
        <w:rPr>
          <w:iCs/>
          <w:lang w:val="uk-UA"/>
        </w:rPr>
        <w:t>:</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4292"/>
        <w:gridCol w:w="968"/>
        <w:gridCol w:w="1275"/>
        <w:gridCol w:w="2386"/>
      </w:tblGrid>
      <w:tr w:rsidR="00D81633" w:rsidRPr="00142A95" w:rsidTr="00D81633">
        <w:trPr>
          <w:trHeight w:val="1065"/>
        </w:trPr>
        <w:tc>
          <w:tcPr>
            <w:tcW w:w="368" w:type="pct"/>
            <w:vAlign w:val="center"/>
          </w:tcPr>
          <w:p w:rsidR="00D81633" w:rsidRPr="00142A95" w:rsidRDefault="00D81633" w:rsidP="00EC4704">
            <w:pPr>
              <w:jc w:val="center"/>
              <w:rPr>
                <w:b/>
                <w:lang w:val="uk-UA"/>
              </w:rPr>
            </w:pPr>
            <w:r w:rsidRPr="00142A95">
              <w:rPr>
                <w:b/>
                <w:lang w:val="uk-UA"/>
              </w:rPr>
              <w:t>№</w:t>
            </w:r>
          </w:p>
        </w:tc>
        <w:tc>
          <w:tcPr>
            <w:tcW w:w="2229" w:type="pct"/>
            <w:vAlign w:val="center"/>
          </w:tcPr>
          <w:p w:rsidR="00D81633" w:rsidRPr="00142A95" w:rsidRDefault="00D81633" w:rsidP="00EC4704">
            <w:pPr>
              <w:jc w:val="center"/>
              <w:rPr>
                <w:b/>
                <w:lang w:val="uk-UA"/>
              </w:rPr>
            </w:pPr>
            <w:r w:rsidRPr="00142A95">
              <w:rPr>
                <w:b/>
                <w:lang w:val="uk-UA"/>
              </w:rPr>
              <w:t>Найменування</w:t>
            </w:r>
          </w:p>
        </w:tc>
        <w:tc>
          <w:tcPr>
            <w:tcW w:w="503" w:type="pct"/>
            <w:vAlign w:val="center"/>
          </w:tcPr>
          <w:p w:rsidR="00D81633" w:rsidRPr="00142A95" w:rsidRDefault="00D81633" w:rsidP="00EC4704">
            <w:pPr>
              <w:jc w:val="center"/>
              <w:rPr>
                <w:b/>
                <w:lang w:val="uk-UA"/>
              </w:rPr>
            </w:pPr>
            <w:r w:rsidRPr="00142A95">
              <w:rPr>
                <w:b/>
                <w:lang w:val="uk-UA"/>
              </w:rPr>
              <w:t>Од. виміру</w:t>
            </w:r>
          </w:p>
        </w:tc>
        <w:tc>
          <w:tcPr>
            <w:tcW w:w="661" w:type="pct"/>
            <w:vAlign w:val="center"/>
          </w:tcPr>
          <w:p w:rsidR="00D81633" w:rsidRPr="00142A95" w:rsidRDefault="00D81633" w:rsidP="00EC4704">
            <w:pPr>
              <w:jc w:val="center"/>
              <w:rPr>
                <w:b/>
                <w:lang w:val="uk-UA"/>
              </w:rPr>
            </w:pPr>
            <w:r w:rsidRPr="00142A95">
              <w:rPr>
                <w:b/>
                <w:lang w:val="uk-UA"/>
              </w:rPr>
              <w:t>Кількість</w:t>
            </w:r>
          </w:p>
        </w:tc>
        <w:tc>
          <w:tcPr>
            <w:tcW w:w="1239" w:type="pct"/>
            <w:vAlign w:val="center"/>
          </w:tcPr>
          <w:p w:rsidR="00D81633" w:rsidRDefault="00D81633" w:rsidP="00EC4704">
            <w:pPr>
              <w:jc w:val="center"/>
              <w:rPr>
                <w:b/>
                <w:color w:val="000000"/>
                <w:lang w:val="uk-UA"/>
              </w:rPr>
            </w:pPr>
            <w:r w:rsidRPr="00CC5A47">
              <w:rPr>
                <w:b/>
                <w:color w:val="000000"/>
                <w:lang w:val="uk-UA"/>
              </w:rPr>
              <w:t xml:space="preserve">Примітки </w:t>
            </w:r>
          </w:p>
          <w:p w:rsidR="00D81633" w:rsidRPr="00CC5A47" w:rsidRDefault="00D81633" w:rsidP="00EC4704">
            <w:pPr>
              <w:jc w:val="center"/>
              <w:rPr>
                <w:b/>
                <w:lang w:val="uk-UA"/>
              </w:rPr>
            </w:pPr>
            <w:r w:rsidRPr="00CC5A47">
              <w:rPr>
                <w:b/>
                <w:color w:val="000000"/>
                <w:lang w:val="uk-UA"/>
              </w:rPr>
              <w:t>(</w:t>
            </w:r>
            <w:proofErr w:type="spellStart"/>
            <w:r w:rsidRPr="00CC5A47">
              <w:rPr>
                <w:b/>
                <w:color w:val="000000"/>
                <w:lang w:val="uk-UA"/>
              </w:rPr>
              <w:t>скретч</w:t>
            </w:r>
            <w:proofErr w:type="spellEnd"/>
            <w:r w:rsidRPr="00CC5A47">
              <w:rPr>
                <w:b/>
                <w:color w:val="000000"/>
                <w:lang w:val="uk-UA"/>
              </w:rPr>
              <w:t>-картка або паливні картки) номіналом</w:t>
            </w:r>
          </w:p>
        </w:tc>
      </w:tr>
      <w:tr w:rsidR="00D81633" w:rsidRPr="00986E29" w:rsidTr="00D81633">
        <w:trPr>
          <w:trHeight w:val="262"/>
        </w:trPr>
        <w:tc>
          <w:tcPr>
            <w:tcW w:w="368" w:type="pct"/>
            <w:vAlign w:val="center"/>
          </w:tcPr>
          <w:p w:rsidR="00D81633" w:rsidRDefault="00D81633" w:rsidP="00EC4704">
            <w:pPr>
              <w:jc w:val="center"/>
              <w:rPr>
                <w:sz w:val="22"/>
                <w:lang w:val="uk-UA"/>
              </w:rPr>
            </w:pPr>
            <w:r>
              <w:rPr>
                <w:sz w:val="22"/>
                <w:lang w:val="uk-UA"/>
              </w:rPr>
              <w:t>1</w:t>
            </w:r>
          </w:p>
        </w:tc>
        <w:tc>
          <w:tcPr>
            <w:tcW w:w="2229" w:type="pct"/>
          </w:tcPr>
          <w:p w:rsidR="00D81633" w:rsidRDefault="00D81633" w:rsidP="00EC4704">
            <w:pPr>
              <w:rPr>
                <w:sz w:val="22"/>
                <w:lang w:val="uk-UA"/>
              </w:rPr>
            </w:pPr>
            <w:r>
              <w:rPr>
                <w:sz w:val="22"/>
                <w:lang w:val="uk-UA"/>
              </w:rPr>
              <w:t xml:space="preserve">Дизельне паливо </w:t>
            </w:r>
          </w:p>
        </w:tc>
        <w:tc>
          <w:tcPr>
            <w:tcW w:w="503" w:type="pct"/>
          </w:tcPr>
          <w:p w:rsidR="00D81633" w:rsidRDefault="00D81633" w:rsidP="00EC4704">
            <w:pPr>
              <w:jc w:val="center"/>
              <w:rPr>
                <w:lang w:val="uk-UA"/>
              </w:rPr>
            </w:pPr>
            <w:r>
              <w:rPr>
                <w:lang w:val="uk-UA"/>
              </w:rPr>
              <w:t>літ</w:t>
            </w:r>
          </w:p>
        </w:tc>
        <w:tc>
          <w:tcPr>
            <w:tcW w:w="661" w:type="pct"/>
            <w:vAlign w:val="center"/>
          </w:tcPr>
          <w:p w:rsidR="00D81633" w:rsidRDefault="00D70913" w:rsidP="00EC4704">
            <w:pPr>
              <w:jc w:val="center"/>
              <w:rPr>
                <w:sz w:val="22"/>
                <w:lang w:val="uk-UA"/>
              </w:rPr>
            </w:pPr>
            <w:r>
              <w:rPr>
                <w:sz w:val="22"/>
                <w:lang w:val="uk-UA"/>
              </w:rPr>
              <w:t>13</w:t>
            </w:r>
            <w:r w:rsidR="00D81633">
              <w:rPr>
                <w:sz w:val="22"/>
                <w:lang w:val="uk-UA"/>
              </w:rPr>
              <w:t>00</w:t>
            </w:r>
          </w:p>
        </w:tc>
        <w:tc>
          <w:tcPr>
            <w:tcW w:w="1239" w:type="pct"/>
            <w:vAlign w:val="center"/>
          </w:tcPr>
          <w:p w:rsidR="00D81633" w:rsidRPr="00D7661B" w:rsidRDefault="00D81633" w:rsidP="00EC4704">
            <w:pPr>
              <w:jc w:val="center"/>
              <w:rPr>
                <w:sz w:val="22"/>
                <w:lang w:val="uk-UA"/>
              </w:rPr>
            </w:pPr>
            <w:r>
              <w:rPr>
                <w:sz w:val="22"/>
                <w:lang w:val="uk-UA"/>
              </w:rPr>
              <w:t>10,15,30</w:t>
            </w:r>
          </w:p>
        </w:tc>
      </w:tr>
    </w:tbl>
    <w:p w:rsidR="00D81633" w:rsidRDefault="00D81633" w:rsidP="00D81633">
      <w:pPr>
        <w:rPr>
          <w:lang w:val="uk-UA"/>
        </w:rPr>
      </w:pPr>
    </w:p>
    <w:p w:rsidR="00644307" w:rsidRDefault="00644307" w:rsidP="00644307">
      <w:pPr>
        <w:jc w:val="both"/>
        <w:rPr>
          <w:lang w:val="uk-UA"/>
        </w:rPr>
      </w:pPr>
      <w:r>
        <w:rPr>
          <w:color w:val="000000"/>
          <w:lang w:val="uk-UA"/>
        </w:rPr>
        <w:t xml:space="preserve">          </w:t>
      </w:r>
      <w:r>
        <w:rPr>
          <w:lang w:val="uk-UA"/>
        </w:rPr>
        <w:t>Талони, які Учасник надає в складі тендерної пропозиції, повинні бути єдиного зразка, та забезпечити право на відпуск палива на всіх АЗС, запропонованих учасником.</w:t>
      </w:r>
    </w:p>
    <w:p w:rsidR="00644307" w:rsidRDefault="00644307" w:rsidP="00644307">
      <w:pPr>
        <w:jc w:val="both"/>
        <w:rPr>
          <w:lang w:val="uk-UA"/>
        </w:rPr>
      </w:pPr>
      <w:r>
        <w:rPr>
          <w:lang w:val="uk-UA"/>
        </w:rPr>
        <w:t xml:space="preserve">          У разі якщо Учасник є власником АЗС/АЗК в складі тендерної пропозиції надаються копії документів, якими підтверджується право власності на АЗС/АЗК з гарантійним листом щодо заправки автотранспорту Замовника протягом 2022 року. </w:t>
      </w:r>
    </w:p>
    <w:p w:rsidR="00644307" w:rsidRDefault="00644307" w:rsidP="00644307">
      <w:pPr>
        <w:jc w:val="both"/>
        <w:rPr>
          <w:lang w:val="uk-UA"/>
        </w:rPr>
      </w:pPr>
      <w:r>
        <w:rPr>
          <w:lang w:val="uk-UA"/>
        </w:rPr>
        <w:t xml:space="preserve">          У разі наявності в Учасника договорів оренди/суборенди на АЗС/АЗК – надаються  копії договорів, укладених між Учасником та власником/орендарем АЗС/АЗК.</w:t>
      </w:r>
    </w:p>
    <w:p w:rsidR="00644307" w:rsidRDefault="00644307" w:rsidP="00644307">
      <w:pPr>
        <w:jc w:val="both"/>
        <w:rPr>
          <w:lang w:val="uk-UA"/>
        </w:rPr>
      </w:pPr>
      <w:r>
        <w:rPr>
          <w:lang w:val="uk-UA"/>
        </w:rPr>
        <w:t xml:space="preserve">          У разі наявності партнерських договорів щодо користування АЗС та організації здійснення відпуску пального, шляхом надання талонів, що пропонуються Учасником, – надаються копії партнерських договорів, укладених між Учасником та власником або орендарем АЗС/АЗК,  з оригіналом листа від власника/орендаря/управителя про гарантування безумовного, цілодобового та безперебійного здійснення відпуску пального на АЗС/АЗК, що зазначені у довідці, протягом 2022 року, за талонами зразка Учасника. Лист повинен бути виданий Учаснику та повинен містити назву та місцезнаходження кожної АЗС/АЗК та зразок копії (або оригіналів) талонів, за якими буде здійснюватися заправлення автотранспорту Замовника, ідентифікатор закупівлі.  Копія партнерських договорів щодо користування АЗС, завірених партнерами,  повинна містити перелік АЗС, на яких буде здійснюватися відпуск палива за єдиним зразком талонів Учасника, наданим в складі тендерної пропозиції.</w:t>
      </w:r>
    </w:p>
    <w:p w:rsidR="00644307" w:rsidRDefault="00644307" w:rsidP="00644307">
      <w:pPr>
        <w:jc w:val="both"/>
        <w:rPr>
          <w:lang w:val="uk-UA"/>
        </w:rPr>
      </w:pPr>
      <w:r>
        <w:rPr>
          <w:lang w:val="uk-UA"/>
        </w:rPr>
        <w:t xml:space="preserve">          Копії талонів на пальне (єдиного зразка, єдиного бренду), що пропонуються Учасником та обслуговуються у мережі АЗС/АЗК. Копії (зразки) наданих талонів повинні бути  завірені підписом посадової особи (із зазначенням посади та ПІБ) власника (емітента) талонів на пальне та завірені його печаткою (у разі використання). Якщо власник (емітент) талонів здійснює господарську діяльність без використання печатки надається оригінал листа , від власника (емітента) талонів із зазначенням цього.</w:t>
      </w:r>
    </w:p>
    <w:p w:rsidR="00644307" w:rsidRDefault="00644307" w:rsidP="00644307">
      <w:pPr>
        <w:jc w:val="both"/>
        <w:rPr>
          <w:lang w:val="uk-UA"/>
        </w:rPr>
      </w:pPr>
      <w:r>
        <w:rPr>
          <w:lang w:val="uk-UA"/>
        </w:rPr>
        <w:t xml:space="preserve">          Учасник надає копії паспортів якості заводу- виробника та сертифікатів відповідності</w:t>
      </w:r>
    </w:p>
    <w:p w:rsidR="00644307" w:rsidRDefault="00644307" w:rsidP="00644307">
      <w:pPr>
        <w:jc w:val="both"/>
        <w:rPr>
          <w:lang w:val="uk-UA"/>
        </w:rPr>
      </w:pPr>
      <w:r>
        <w:rPr>
          <w:lang w:val="uk-UA"/>
        </w:rPr>
        <w:t xml:space="preserve">          Учасник повинен надати інформацію щодо  застосування переліку заходів із захисту довкілля.</w:t>
      </w:r>
      <w:r w:rsidR="000721D7">
        <w:rPr>
          <w:lang w:val="uk-UA"/>
        </w:rPr>
        <w:t>.</w:t>
      </w:r>
      <w:bookmarkStart w:id="0" w:name="_GoBack"/>
      <w:bookmarkEnd w:id="0"/>
    </w:p>
    <w:p w:rsidR="00644307" w:rsidRDefault="00644307" w:rsidP="00644307">
      <w:pPr>
        <w:rPr>
          <w:lang w:val="uk-UA"/>
        </w:rPr>
      </w:pPr>
    </w:p>
    <w:p w:rsidR="00D81633" w:rsidRDefault="00D81633" w:rsidP="00D81633">
      <w:pPr>
        <w:rPr>
          <w:lang w:val="uk-UA"/>
        </w:rPr>
      </w:pPr>
    </w:p>
    <w:p w:rsidR="00D81633" w:rsidRPr="007A5294" w:rsidRDefault="00D81633" w:rsidP="00D81633">
      <w:pPr>
        <w:rPr>
          <w:lang w:val="uk-UA"/>
        </w:rPr>
      </w:pPr>
    </w:p>
    <w:p w:rsidR="00D81633" w:rsidRPr="007A5294" w:rsidRDefault="00D81633" w:rsidP="00D81633">
      <w:pPr>
        <w:rPr>
          <w:lang w:val="uk-UA"/>
        </w:rPr>
      </w:pPr>
    </w:p>
    <w:p w:rsidR="00D81633" w:rsidRPr="007A5294" w:rsidRDefault="00D81633" w:rsidP="00D81633">
      <w:pPr>
        <w:rPr>
          <w:lang w:val="uk-UA"/>
        </w:rPr>
      </w:pPr>
    </w:p>
    <w:p w:rsidR="00D81633" w:rsidRPr="007A5294" w:rsidRDefault="00D81633" w:rsidP="00D81633">
      <w:pPr>
        <w:rPr>
          <w:lang w:val="uk-UA"/>
        </w:rPr>
      </w:pPr>
    </w:p>
    <w:p w:rsidR="00D81633" w:rsidRPr="007A5294" w:rsidRDefault="00D81633" w:rsidP="00D81633">
      <w:pPr>
        <w:jc w:val="center"/>
        <w:rPr>
          <w:lang w:val="uk-UA"/>
        </w:rPr>
      </w:pPr>
      <w:r>
        <w:rPr>
          <w:lang w:val="uk-UA"/>
        </w:rPr>
        <w:t xml:space="preserve">Уповноважена особа                                                      Н. </w:t>
      </w:r>
      <w:proofErr w:type="spellStart"/>
      <w:r>
        <w:rPr>
          <w:lang w:val="uk-UA"/>
        </w:rPr>
        <w:t>Дриботій</w:t>
      </w:r>
      <w:proofErr w:type="spellEnd"/>
    </w:p>
    <w:p w:rsidR="00D81633" w:rsidRPr="007A5294" w:rsidRDefault="00D81633" w:rsidP="00D81633">
      <w:pPr>
        <w:rPr>
          <w:lang w:val="uk-UA"/>
        </w:rPr>
      </w:pPr>
    </w:p>
    <w:p w:rsidR="00D81633" w:rsidRPr="007A5294" w:rsidRDefault="00D81633" w:rsidP="00D81633">
      <w:pPr>
        <w:rPr>
          <w:lang w:val="uk-UA"/>
        </w:rPr>
      </w:pPr>
    </w:p>
    <w:p w:rsidR="00D81633" w:rsidRPr="007A5294" w:rsidRDefault="00D81633" w:rsidP="00D81633">
      <w:pPr>
        <w:rPr>
          <w:lang w:val="uk-UA"/>
        </w:rPr>
      </w:pPr>
    </w:p>
    <w:p w:rsidR="000F1C13" w:rsidRPr="00D81633" w:rsidRDefault="000F1C13">
      <w:pPr>
        <w:rPr>
          <w:lang w:val="uk-UA"/>
        </w:rPr>
      </w:pPr>
    </w:p>
    <w:sectPr w:rsidR="000F1C13" w:rsidRPr="00D816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A7C60"/>
    <w:multiLevelType w:val="hybridMultilevel"/>
    <w:tmpl w:val="882C8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33"/>
    <w:rsid w:val="000721D7"/>
    <w:rsid w:val="000F1C13"/>
    <w:rsid w:val="00644307"/>
    <w:rsid w:val="00D70913"/>
    <w:rsid w:val="00D816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0859"/>
  <w15:chartTrackingRefBased/>
  <w15:docId w15:val="{32E0AA9A-6CBD-45C6-A504-41B19D4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6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D81633"/>
    <w:rPr>
      <w:rFonts w:ascii="Verdana" w:hAnsi="Verdana" w:cs="Verdana"/>
      <w:sz w:val="20"/>
      <w:szCs w:val="20"/>
      <w:lang w:val="en-US" w:eastAsia="en-US"/>
    </w:rPr>
  </w:style>
  <w:style w:type="character" w:styleId="a3">
    <w:name w:val="Strong"/>
    <w:uiPriority w:val="22"/>
    <w:qFormat/>
    <w:rsid w:val="00D81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80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B8B7B-971E-4B12-B6D0-F28E73DD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1719</Words>
  <Characters>981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4</cp:revision>
  <dcterms:created xsi:type="dcterms:W3CDTF">2021-12-17T10:42:00Z</dcterms:created>
  <dcterms:modified xsi:type="dcterms:W3CDTF">2022-07-19T13:52:00Z</dcterms:modified>
</cp:coreProperties>
</file>