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07" w:rsidRDefault="00FA0E22">
      <w:pPr>
        <w:ind w:left="6804"/>
        <w:jc w:val="right"/>
        <w:outlineLvl w:val="5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sz w:val="24"/>
          <w:szCs w:val="24"/>
        </w:rPr>
        <w:t>Додаток 2</w:t>
      </w:r>
    </w:p>
    <w:p w:rsidR="00344807" w:rsidRDefault="00FA0E22">
      <w:pPr>
        <w:shd w:val="clear" w:color="auto" w:fill="FFFFFF"/>
        <w:ind w:left="6804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 тендерної документації </w:t>
      </w:r>
    </w:p>
    <w:p w:rsidR="00344807" w:rsidRDefault="00344807">
      <w:pPr>
        <w:shd w:val="clear" w:color="auto" w:fill="FFFFFF"/>
        <w:ind w:left="6804"/>
        <w:rPr>
          <w:rFonts w:ascii="Times New Roman" w:hAnsi="Times New Roman"/>
          <w:b/>
          <w:spacing w:val="7"/>
          <w:sz w:val="24"/>
          <w:szCs w:val="24"/>
          <w:highlight w:val="yellow"/>
        </w:rPr>
      </w:pPr>
    </w:p>
    <w:p w:rsidR="00344807" w:rsidRDefault="00344807">
      <w:pPr>
        <w:shd w:val="clear" w:color="auto" w:fill="FFFFFF"/>
        <w:ind w:left="6804"/>
        <w:rPr>
          <w:rFonts w:ascii="Times New Roman" w:hAnsi="Times New Roman"/>
          <w:b/>
          <w:spacing w:val="7"/>
          <w:sz w:val="24"/>
          <w:szCs w:val="24"/>
          <w:highlight w:val="yellow"/>
        </w:rPr>
      </w:pPr>
    </w:p>
    <w:p w:rsidR="00344807" w:rsidRDefault="00FA0E22">
      <w:pPr>
        <w:widowControl/>
        <w:spacing w:before="240"/>
        <w:ind w:hanging="2"/>
        <w:jc w:val="center"/>
        <w:textAlignment w:val="top"/>
        <w:outlineLvl w:val="0"/>
        <w:rPr>
          <w:rFonts w:ascii="Times New Roman" w:eastAsia="Times New Roman" w:hAnsi="Times New Roman"/>
          <w:color w:val="000000"/>
          <w:kern w:val="0"/>
          <w:sz w:val="24"/>
          <w:szCs w:val="24"/>
          <w:lang w:val="ru-RU" w:eastAsia="en-US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Інформація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необхідні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технічні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якісні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кількісні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закупівлі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</w:t>
      </w:r>
      <w:r>
        <w:rPr>
          <w:rFonts w:ascii="Times New Roman" w:eastAsia="Times New Roman" w:hAnsi="Times New Roman"/>
          <w:b/>
          <w:i/>
          <w:kern w:val="0"/>
          <w:position w:val="-1"/>
          <w:sz w:val="24"/>
          <w:szCs w:val="24"/>
          <w:highlight w:val="white"/>
          <w:lang w:val="ru-RU" w:eastAsia="en-US"/>
        </w:rPr>
        <w:t>–</w:t>
      </w:r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технічні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вимоги</w:t>
      </w:r>
      <w:proofErr w:type="spellEnd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 xml:space="preserve"> до предмета </w:t>
      </w:r>
      <w:proofErr w:type="spellStart"/>
      <w:r>
        <w:rPr>
          <w:rFonts w:ascii="Times New Roman" w:eastAsia="Times New Roman" w:hAnsi="Times New Roman"/>
          <w:b/>
          <w:i/>
          <w:color w:val="000000"/>
          <w:kern w:val="0"/>
          <w:position w:val="-1"/>
          <w:sz w:val="24"/>
          <w:szCs w:val="24"/>
          <w:highlight w:val="white"/>
          <w:lang w:val="ru-RU" w:eastAsia="en-US"/>
        </w:rPr>
        <w:t>закупівлі</w:t>
      </w:r>
      <w:proofErr w:type="spellEnd"/>
    </w:p>
    <w:p w:rsidR="00344807" w:rsidRDefault="00FA0E22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Замовник самостійно визначає необхідні технічні характеристики предмета закупівлі </w:t>
      </w:r>
      <w:r>
        <w:rPr>
          <w:rFonts w:ascii="Times New Roman" w:eastAsia="Times New Roman" w:hAnsi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/>
          <w:sz w:val="24"/>
          <w:szCs w:val="24"/>
        </w:rPr>
        <w:t>огляду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специфік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закупівлі, керуючись принципами здійснення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з дотриманням законодавства.</w:t>
      </w:r>
    </w:p>
    <w:p w:rsidR="00344807" w:rsidRDefault="00FA0E22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Фактом подання тендерної пропозиції учасник підтверджує відповідність своєї пропозиції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технічним, якісним, кількісним, функціональним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закупівлі, що містяться в тендерній документації та цьому додатку, а також п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ідтверджує можливість поставки товару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ідповідно до вимог, визначених згідно з умовами тендерної документації.</w:t>
      </w:r>
    </w:p>
    <w:p w:rsidR="00344807" w:rsidRDefault="00FA0E2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місцях, де технічна специфікація містить посилання на конкретні марку чи виробника або на конкретний процес, що характеризує продукт чи послугу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певного суб’єкта господарювання, чи на торгові марки, патенти, типи або конкретне місце походження чи спосіб виробництва, вважати вираз  </w:t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або еквівалент</w:t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.</w:t>
      </w:r>
    </w:p>
    <w:p w:rsidR="00344807" w:rsidRDefault="00FA0E22">
      <w:pPr>
        <w:ind w:hanging="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місцях, де технічна специфікація містить посилання на стандартні характеристики, технічні регламен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нними системами, визнаними європейськими органами зі стандартизації або національними стандартами, нормами та правилами, біля кожного такого посилання вважати вираз «або еквівалент».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Таким чином, вважається, що до кожного посилання додається вираз «або екв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>івалент».</w:t>
      </w:r>
    </w:p>
    <w:p w:rsidR="00344807" w:rsidRDefault="00FA0E22">
      <w:pPr>
        <w:ind w:hanging="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344807" w:rsidRDefault="00344807">
      <w:pPr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344807" w:rsidRDefault="00FA0E22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ТЕХНІЧНА СПЕЦИФІКАЦІЯ</w:t>
      </w:r>
    </w:p>
    <w:p w:rsidR="00344807" w:rsidRDefault="00FA0E22">
      <w:pPr>
        <w:ind w:firstLine="708"/>
        <w:jc w:val="both"/>
        <w:rPr>
          <w:rFonts w:ascii="Times New Roman" w:eastAsia="Times New Roman" w:hAnsi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Предмет закупівлі - </w:t>
      </w:r>
      <w:r>
        <w:rPr>
          <w:rFonts w:ascii="Times New Roman" w:eastAsia="Times New Roman" w:hAnsi="Times New Roman"/>
          <w:b/>
          <w:i/>
          <w:kern w:val="0"/>
          <w:sz w:val="24"/>
          <w:szCs w:val="24"/>
          <w:lang w:eastAsia="ru-RU"/>
        </w:rPr>
        <w:t>Природний газ, код 09120000-6 «Газове паливо» за ДК 021:2015 Єдиного закупівельного словника</w:t>
      </w:r>
    </w:p>
    <w:p w:rsidR="00344807" w:rsidRDefault="00344807">
      <w:pPr>
        <w:jc w:val="center"/>
        <w:rPr>
          <w:rFonts w:ascii="Times New Roman" w:hAnsi="Times New Roman"/>
          <w:sz w:val="24"/>
          <w:szCs w:val="24"/>
        </w:rPr>
      </w:pPr>
    </w:p>
    <w:p w:rsidR="00344807" w:rsidRDefault="00FA0E22">
      <w:pPr>
        <w:pStyle w:val="a4"/>
        <w:numPr>
          <w:ilvl w:val="0"/>
          <w:numId w:val="1"/>
        </w:numPr>
        <w:spacing w:before="0" w:after="0"/>
        <w:ind w:right="-1"/>
        <w:jc w:val="both"/>
        <w:textAlignment w:val="auto"/>
        <w:rPr>
          <w:b/>
          <w:lang w:val="uk-UA"/>
        </w:rPr>
      </w:pPr>
      <w:r>
        <w:rPr>
          <w:color w:val="000000"/>
          <w:lang w:val="uk-UA"/>
        </w:rPr>
        <w:t xml:space="preserve">Обсяг поставки товару: </w:t>
      </w:r>
      <w:r>
        <w:rPr>
          <w:b/>
          <w:bCs/>
          <w:color w:val="000000" w:themeColor="text1"/>
          <w:lang w:val="uk-UA"/>
        </w:rPr>
        <w:t xml:space="preserve">     13 490 </w:t>
      </w:r>
      <w:r>
        <w:rPr>
          <w:b/>
          <w:color w:val="000000" w:themeColor="text1"/>
          <w:lang w:val="uk-UA"/>
        </w:rPr>
        <w:t>м. куб.</w:t>
      </w:r>
    </w:p>
    <w:p w:rsidR="00344807" w:rsidRDefault="00FA0E22">
      <w:pPr>
        <w:pStyle w:val="ae"/>
        <w:widowControl/>
        <w:numPr>
          <w:ilvl w:val="0"/>
          <w:numId w:val="1"/>
        </w:numPr>
        <w:tabs>
          <w:tab w:val="left" w:pos="284"/>
        </w:tabs>
        <w:contextualSpacing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Строк поставки товару: </w:t>
      </w:r>
      <w:r>
        <w:rPr>
          <w:b/>
          <w:bCs/>
          <w:color w:val="000000" w:themeColor="text1"/>
          <w:sz w:val="24"/>
          <w:szCs w:val="24"/>
          <w:lang w:val="uk-UA"/>
        </w:rPr>
        <w:t xml:space="preserve">з </w:t>
      </w:r>
      <w:r>
        <w:rPr>
          <w:b/>
          <w:bCs/>
          <w:color w:val="000000" w:themeColor="text1"/>
          <w:sz w:val="24"/>
          <w:szCs w:val="24"/>
          <w:lang w:val="uk-UA"/>
        </w:rPr>
        <w:t>моменту підписання договору</w:t>
      </w:r>
      <w:r>
        <w:rPr>
          <w:b/>
          <w:bCs/>
          <w:color w:val="000000" w:themeColor="text1"/>
          <w:spacing w:val="7"/>
          <w:sz w:val="24"/>
          <w:szCs w:val="24"/>
          <w:lang w:val="uk-UA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uk-UA"/>
        </w:rPr>
        <w:t>по «31» грудня 2024 року включно.</w:t>
      </w:r>
    </w:p>
    <w:p w:rsidR="00344807" w:rsidRDefault="00344807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4807" w:rsidRDefault="00FA0E2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Учасник</w:t>
      </w:r>
      <w:r>
        <w:rPr>
          <w:rFonts w:ascii="Times New Roman" w:hAnsi="Times New Roman"/>
          <w:sz w:val="24"/>
          <w:szCs w:val="24"/>
        </w:rPr>
        <w:t xml:space="preserve"> при формуванні ціни повинен врахувати усі витрати на постачання з урахуванням усіх  платежів (у тому числі транспортування), які можуть бути ним понесені у ході виконання договору про закупівлю;</w:t>
      </w:r>
    </w:p>
    <w:p w:rsidR="00344807" w:rsidRDefault="00FA0E22">
      <w:pPr>
        <w:keepNext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Відносини між Замовником та Учасником регулюються наступн</w:t>
      </w:r>
      <w:r>
        <w:rPr>
          <w:rFonts w:ascii="Times New Roman" w:hAnsi="Times New Roman"/>
          <w:sz w:val="24"/>
          <w:szCs w:val="24"/>
        </w:rPr>
        <w:t>ими нормативно правовими актами:</w:t>
      </w:r>
    </w:p>
    <w:p w:rsidR="00344807" w:rsidRDefault="00FA0E22">
      <w:pPr>
        <w:keepNext/>
        <w:numPr>
          <w:ilvl w:val="0"/>
          <w:numId w:val="3"/>
        </w:numPr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Закону України «Про ринок природного газу» № 329-VIII від 09.04.2015;</w:t>
      </w:r>
    </w:p>
    <w:p w:rsidR="00344807" w:rsidRDefault="00FA0E22">
      <w:pPr>
        <w:keepNext/>
        <w:numPr>
          <w:ilvl w:val="0"/>
          <w:numId w:val="3"/>
        </w:numPr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</w:t>
      </w:r>
      <w:r>
        <w:rPr>
          <w:rFonts w:ascii="Times New Roman" w:hAnsi="Times New Roman"/>
          <w:sz w:val="24"/>
          <w:szCs w:val="24"/>
        </w:rPr>
        <w:t>слуг, від 30.09.2015 № 2496;</w:t>
      </w:r>
    </w:p>
    <w:p w:rsidR="00344807" w:rsidRDefault="00FA0E22">
      <w:pPr>
        <w:keepNext/>
        <w:numPr>
          <w:ilvl w:val="0"/>
          <w:numId w:val="3"/>
        </w:numPr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344807" w:rsidRDefault="00FA0E22">
      <w:pPr>
        <w:keepNext/>
        <w:numPr>
          <w:ilvl w:val="0"/>
          <w:numId w:val="3"/>
        </w:numPr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Кодексу газорозподільних систем, затвердженому </w:t>
      </w:r>
      <w:r>
        <w:rPr>
          <w:rFonts w:ascii="Times New Roman" w:hAnsi="Times New Roman"/>
          <w:sz w:val="24"/>
          <w:szCs w:val="24"/>
        </w:rPr>
        <w:t xml:space="preserve">постановою Національної комісії, що здійснює державне регулювання у сферах енергетики та комунальних послуг, від 30.09.2015 </w:t>
      </w:r>
      <w:r>
        <w:rPr>
          <w:rFonts w:ascii="Times New Roman" w:hAnsi="Times New Roman"/>
          <w:sz w:val="24"/>
          <w:szCs w:val="24"/>
        </w:rPr>
        <w:lastRenderedPageBreak/>
        <w:t>№ 2494;</w:t>
      </w:r>
    </w:p>
    <w:p w:rsidR="00344807" w:rsidRDefault="00FA0E22">
      <w:pPr>
        <w:keepNext/>
        <w:numPr>
          <w:ilvl w:val="0"/>
          <w:numId w:val="3"/>
        </w:numPr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:rsidR="00344807" w:rsidRDefault="00344807">
      <w:pPr>
        <w:widowControl/>
        <w:tabs>
          <w:tab w:val="left" w:pos="284"/>
        </w:tabs>
        <w:ind w:left="360"/>
        <w:contextualSpacing/>
        <w:textAlignment w:val="auto"/>
        <w:rPr>
          <w:sz w:val="24"/>
          <w:szCs w:val="24"/>
        </w:rPr>
      </w:pPr>
    </w:p>
    <w:p w:rsidR="00344807" w:rsidRDefault="00FA0E22">
      <w:pPr>
        <w:widowControl/>
        <w:tabs>
          <w:tab w:val="left" w:pos="284"/>
        </w:tabs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color w:val="000000"/>
          <w:kern w:val="0"/>
          <w:sz w:val="24"/>
          <w:szCs w:val="24"/>
          <w:lang w:val="ru-RU" w:eastAsia="zh-CN"/>
        </w:rPr>
        <w:tab/>
      </w:r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5.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Якість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та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інші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фізи</w:t>
      </w:r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ко-хімічні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характеристики природного газу,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який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передається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замовнику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межі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балансової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належності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, повинен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відповідати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вимогам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ГОСТ 5542-87 «Гази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горючі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природні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для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промислового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і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комунально-побутового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призначення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.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Технічні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умови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»,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вимогам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встановленим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державними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стандартами,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технічними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умовами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, нормативно-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технічними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документами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щодо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його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якості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.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Фізико-хімічні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показники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(ФХП) природного газу,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який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постачається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замовнику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, повинен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відповідати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ru-RU" w:eastAsia="zh-CN"/>
        </w:rPr>
        <w:t xml:space="preserve">параметрам, </w:t>
      </w:r>
      <w:proofErr w:type="spellStart"/>
      <w:r>
        <w:rPr>
          <w:rFonts w:ascii="Times New Roman" w:hAnsi="Times New Roman"/>
          <w:kern w:val="0"/>
          <w:sz w:val="24"/>
          <w:szCs w:val="24"/>
          <w:lang w:val="ru-RU" w:eastAsia="zh-CN"/>
        </w:rPr>
        <w:t>пол</w:t>
      </w:r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>оженням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  <w:lang w:val="ru-RU" w:eastAsia="zh-CN"/>
        </w:rPr>
        <w:t xml:space="preserve"> Кодексу № 2493, Кодексу № 2494.</w:t>
      </w:r>
    </w:p>
    <w:p w:rsidR="00344807" w:rsidRDefault="00FA0E22">
      <w:pPr>
        <w:pStyle w:val="ae"/>
        <w:widowControl/>
        <w:numPr>
          <w:ilvl w:val="0"/>
          <w:numId w:val="1"/>
        </w:numPr>
        <w:contextualSpacing/>
        <w:textAlignment w:val="auto"/>
        <w:rPr>
          <w:kern w:val="0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Місце п</w:t>
      </w:r>
      <w:r>
        <w:rPr>
          <w:sz w:val="24"/>
          <w:szCs w:val="24"/>
          <w:lang w:val="uk-UA"/>
        </w:rPr>
        <w:t xml:space="preserve">оставки товару - </w:t>
      </w:r>
      <w:r>
        <w:rPr>
          <w:rFonts w:eastAsia="Calibri"/>
          <w:bCs/>
          <w:kern w:val="0"/>
          <w:sz w:val="24"/>
          <w:szCs w:val="24"/>
          <w:lang w:val="uk-UA" w:eastAsia="ru-RU"/>
        </w:rPr>
        <w:t xml:space="preserve">об’єкти споживання природного газу </w:t>
      </w:r>
      <w:proofErr w:type="spellStart"/>
      <w:r>
        <w:rPr>
          <w:rFonts w:eastAsia="Calibri"/>
          <w:bCs/>
          <w:kern w:val="0"/>
          <w:sz w:val="24"/>
          <w:szCs w:val="24"/>
          <w:lang w:val="uk-UA" w:eastAsia="ru-RU"/>
        </w:rPr>
        <w:t>Кам'янської</w:t>
      </w:r>
      <w:proofErr w:type="spellEnd"/>
      <w:r>
        <w:rPr>
          <w:rFonts w:eastAsia="Calibri"/>
          <w:bCs/>
          <w:kern w:val="0"/>
          <w:sz w:val="24"/>
          <w:szCs w:val="24"/>
          <w:lang w:val="uk-UA" w:eastAsia="ru-RU"/>
        </w:rPr>
        <w:t xml:space="preserve"> сільської ради </w:t>
      </w:r>
      <w:r>
        <w:rPr>
          <w:rFonts w:eastAsia="Calibri"/>
          <w:kern w:val="0"/>
          <w:sz w:val="24"/>
          <w:szCs w:val="24"/>
          <w:lang w:val="uk-UA" w:eastAsia="ru-RU"/>
        </w:rPr>
        <w:t>Берегівського району Закарпатської області</w:t>
      </w:r>
      <w:r>
        <w:rPr>
          <w:sz w:val="24"/>
          <w:szCs w:val="24"/>
          <w:lang w:val="uk-UA"/>
        </w:rPr>
        <w:t>:</w:t>
      </w:r>
    </w:p>
    <w:p w:rsidR="00344807" w:rsidRDefault="00344807">
      <w:pPr>
        <w:widowControl/>
        <w:contextualSpacing/>
        <w:textAlignment w:val="auto"/>
        <w:rPr>
          <w:color w:val="000000" w:themeColor="text1"/>
          <w:kern w:val="0"/>
          <w:sz w:val="24"/>
          <w:szCs w:val="24"/>
        </w:rPr>
      </w:pPr>
    </w:p>
    <w:p w:rsidR="00344807" w:rsidRDefault="00FA0E22">
      <w:pPr>
        <w:pStyle w:val="ae"/>
        <w:widowControl/>
        <w:numPr>
          <w:ilvl w:val="1"/>
          <w:numId w:val="1"/>
        </w:numPr>
        <w:contextualSpacing/>
        <w:textAlignment w:val="auto"/>
        <w:rPr>
          <w:color w:val="000000" w:themeColor="text1"/>
          <w:kern w:val="0"/>
          <w:sz w:val="24"/>
          <w:szCs w:val="24"/>
          <w:lang w:val="uk-UA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t>Україна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, </w:t>
      </w:r>
      <w:proofErr w:type="gramStart"/>
      <w:r>
        <w:rPr>
          <w:color w:val="000000" w:themeColor="text1"/>
          <w:sz w:val="24"/>
          <w:szCs w:val="24"/>
          <w:lang w:val="ru-RU"/>
        </w:rPr>
        <w:t>90120,Закарпатська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обл., с. </w:t>
      </w:r>
      <w:proofErr w:type="spellStart"/>
      <w:r>
        <w:rPr>
          <w:color w:val="000000" w:themeColor="text1"/>
          <w:sz w:val="24"/>
          <w:szCs w:val="24"/>
          <w:lang w:val="ru-RU"/>
        </w:rPr>
        <w:t>Арданово</w:t>
      </w:r>
      <w:proofErr w:type="spellEnd"/>
      <w:r>
        <w:rPr>
          <w:color w:val="000000" w:themeColor="text1"/>
          <w:sz w:val="24"/>
          <w:szCs w:val="24"/>
          <w:lang w:val="ru-RU"/>
        </w:rPr>
        <w:t>, 410, корп. А</w:t>
      </w:r>
      <w:r>
        <w:rPr>
          <w:color w:val="000000" w:themeColor="text1"/>
          <w:sz w:val="24"/>
          <w:szCs w:val="24"/>
          <w:lang w:val="uk-UA"/>
        </w:rPr>
        <w:t xml:space="preserve">,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адмінбудинок</w:t>
      </w:r>
      <w:proofErr w:type="spellEnd"/>
      <w:r>
        <w:rPr>
          <w:color w:val="000000" w:themeColor="text1"/>
          <w:sz w:val="24"/>
          <w:szCs w:val="24"/>
          <w:lang w:val="uk-UA"/>
        </w:rPr>
        <w:t>;</w:t>
      </w:r>
    </w:p>
    <w:p w:rsidR="00344807" w:rsidRDefault="00344807">
      <w:pPr>
        <w:pStyle w:val="ae"/>
        <w:rPr>
          <w:color w:val="000000" w:themeColor="text1"/>
          <w:kern w:val="0"/>
          <w:sz w:val="24"/>
          <w:szCs w:val="24"/>
          <w:lang w:val="uk-UA"/>
        </w:rPr>
      </w:pPr>
    </w:p>
    <w:p w:rsidR="00344807" w:rsidRDefault="00FA0E22">
      <w:pPr>
        <w:pStyle w:val="ae"/>
        <w:widowControl/>
        <w:numPr>
          <w:ilvl w:val="1"/>
          <w:numId w:val="1"/>
        </w:numPr>
        <w:contextualSpacing/>
        <w:textAlignment w:val="auto"/>
        <w:rPr>
          <w:color w:val="000000" w:themeColor="text1"/>
          <w:kern w:val="0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Україна,90125, Закарпатська обл., </w:t>
      </w:r>
      <w:proofErr w:type="spellStart"/>
      <w:r>
        <w:rPr>
          <w:color w:val="000000" w:themeColor="text1"/>
          <w:sz w:val="24"/>
          <w:szCs w:val="24"/>
          <w:lang w:val="uk-UA"/>
        </w:rPr>
        <w:t>с.Кам'янське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, вул. </w:t>
      </w:r>
      <w:r>
        <w:rPr>
          <w:color w:val="000000" w:themeColor="text1"/>
          <w:sz w:val="24"/>
          <w:szCs w:val="24"/>
          <w:lang w:val="uk-UA"/>
        </w:rPr>
        <w:t xml:space="preserve">Українська, 1, </w:t>
      </w:r>
      <w:proofErr w:type="spellStart"/>
      <w:r>
        <w:rPr>
          <w:color w:val="000000" w:themeColor="text1"/>
          <w:sz w:val="24"/>
          <w:szCs w:val="24"/>
          <w:lang w:val="uk-UA"/>
        </w:rPr>
        <w:t>адмінбудинок</w:t>
      </w:r>
      <w:proofErr w:type="spellEnd"/>
      <w:r>
        <w:rPr>
          <w:color w:val="000000" w:themeColor="text1"/>
          <w:sz w:val="24"/>
          <w:szCs w:val="24"/>
          <w:lang w:val="uk-UA"/>
        </w:rPr>
        <w:t>;</w:t>
      </w:r>
    </w:p>
    <w:p w:rsidR="00344807" w:rsidRDefault="00344807">
      <w:pPr>
        <w:pStyle w:val="ae"/>
        <w:rPr>
          <w:color w:val="000000" w:themeColor="text1"/>
          <w:sz w:val="24"/>
          <w:szCs w:val="24"/>
          <w:lang w:val="ru-RU"/>
        </w:rPr>
      </w:pPr>
    </w:p>
    <w:p w:rsidR="00344807" w:rsidRDefault="00FA0E22">
      <w:pPr>
        <w:pStyle w:val="ae"/>
        <w:widowControl/>
        <w:numPr>
          <w:ilvl w:val="1"/>
          <w:numId w:val="1"/>
        </w:numPr>
        <w:contextualSpacing/>
        <w:textAlignment w:val="auto"/>
        <w:rPr>
          <w:color w:val="000000" w:themeColor="text1"/>
          <w:kern w:val="0"/>
          <w:sz w:val="24"/>
          <w:szCs w:val="24"/>
          <w:lang w:val="uk-UA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t>Україна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, 90124, </w:t>
      </w:r>
      <w:proofErr w:type="spellStart"/>
      <w:r>
        <w:rPr>
          <w:color w:val="000000" w:themeColor="text1"/>
          <w:sz w:val="24"/>
          <w:szCs w:val="24"/>
          <w:lang w:val="ru-RU"/>
        </w:rPr>
        <w:t>Закарпатська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обл., </w:t>
      </w:r>
      <w:proofErr w:type="spellStart"/>
      <w:r>
        <w:rPr>
          <w:color w:val="000000" w:themeColor="text1"/>
          <w:sz w:val="24"/>
          <w:szCs w:val="24"/>
          <w:lang w:val="ru-RU"/>
        </w:rPr>
        <w:t>с.Сільце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4"/>
          <w:szCs w:val="24"/>
          <w:lang w:val="ru-RU"/>
        </w:rPr>
        <w:t>вул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. Центральна, 118, </w:t>
      </w:r>
      <w:proofErr w:type="spellStart"/>
      <w:r>
        <w:rPr>
          <w:color w:val="000000" w:themeColor="text1"/>
          <w:sz w:val="24"/>
          <w:szCs w:val="24"/>
          <w:lang w:val="ru-RU"/>
        </w:rPr>
        <w:t>адмінбудинок</w:t>
      </w:r>
      <w:proofErr w:type="spellEnd"/>
      <w:r>
        <w:rPr>
          <w:color w:val="000000" w:themeColor="text1"/>
          <w:sz w:val="24"/>
          <w:szCs w:val="24"/>
          <w:lang w:val="ru-RU"/>
        </w:rPr>
        <w:t>;</w:t>
      </w:r>
    </w:p>
    <w:p w:rsidR="00344807" w:rsidRDefault="00344807">
      <w:pPr>
        <w:pStyle w:val="ae"/>
        <w:rPr>
          <w:color w:val="000000" w:themeColor="text1"/>
          <w:kern w:val="0"/>
          <w:sz w:val="24"/>
          <w:szCs w:val="24"/>
          <w:lang w:val="uk-UA"/>
        </w:rPr>
      </w:pPr>
    </w:p>
    <w:p w:rsidR="00344807" w:rsidRDefault="00FA0E22">
      <w:pPr>
        <w:pStyle w:val="ae"/>
        <w:widowControl/>
        <w:numPr>
          <w:ilvl w:val="1"/>
          <w:numId w:val="1"/>
        </w:numPr>
        <w:contextualSpacing/>
        <w:textAlignment w:val="auto"/>
        <w:rPr>
          <w:color w:val="000000" w:themeColor="text1"/>
          <w:kern w:val="0"/>
          <w:sz w:val="24"/>
          <w:szCs w:val="24"/>
          <w:lang w:val="uk-UA"/>
        </w:rPr>
      </w:pPr>
      <w:r>
        <w:rPr>
          <w:color w:val="000000" w:themeColor="text1"/>
          <w:kern w:val="0"/>
          <w:sz w:val="24"/>
          <w:szCs w:val="24"/>
          <w:lang w:val="uk-UA"/>
        </w:rPr>
        <w:t xml:space="preserve">Україна, 90124, Закарпатська обл., </w:t>
      </w:r>
      <w:proofErr w:type="spellStart"/>
      <w:r>
        <w:rPr>
          <w:color w:val="000000" w:themeColor="text1"/>
          <w:kern w:val="0"/>
          <w:sz w:val="24"/>
          <w:szCs w:val="24"/>
          <w:lang w:val="uk-UA"/>
        </w:rPr>
        <w:t>с.Сільце</w:t>
      </w:r>
      <w:proofErr w:type="spellEnd"/>
      <w:r>
        <w:rPr>
          <w:color w:val="000000" w:themeColor="text1"/>
          <w:kern w:val="0"/>
          <w:sz w:val="24"/>
          <w:szCs w:val="24"/>
          <w:lang w:val="uk-UA"/>
        </w:rPr>
        <w:t xml:space="preserve">, вул. </w:t>
      </w:r>
      <w:proofErr w:type="spellStart"/>
      <w:r>
        <w:rPr>
          <w:color w:val="000000" w:themeColor="text1"/>
          <w:kern w:val="0"/>
          <w:sz w:val="24"/>
          <w:szCs w:val="24"/>
          <w:lang w:val="uk-UA"/>
        </w:rPr>
        <w:t>Центральна,б</w:t>
      </w:r>
      <w:proofErr w:type="spellEnd"/>
      <w:r>
        <w:rPr>
          <w:color w:val="000000" w:themeColor="text1"/>
          <w:kern w:val="0"/>
          <w:sz w:val="24"/>
          <w:szCs w:val="24"/>
          <w:lang w:val="uk-UA"/>
        </w:rPr>
        <w:t>\н,  АМБУЛАТОРІЯ ЗАГАЛЬНОЇ ПРАКТИКИ- СІМЕЙНОЇ МЕДИЦИНИ</w:t>
      </w:r>
    </w:p>
    <w:p w:rsidR="00344807" w:rsidRDefault="00344807">
      <w:pPr>
        <w:rPr>
          <w:color w:val="000000"/>
          <w:sz w:val="24"/>
          <w:szCs w:val="24"/>
        </w:rPr>
      </w:pPr>
    </w:p>
    <w:p w:rsidR="00344807" w:rsidRDefault="00FA0E22">
      <w:pPr>
        <w:widowControl/>
        <w:ind w:left="360" w:firstLine="348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об’єктів Споживача</w:t>
      </w:r>
      <w:r>
        <w:rPr>
          <w:rFonts w:ascii="Times New Roman" w:hAnsi="Times New Roman"/>
          <w:sz w:val="24"/>
          <w:szCs w:val="24"/>
        </w:rPr>
        <w:t xml:space="preserve"> може бути змінено/доповнено на етапі підписання Договору Сторонами.</w:t>
      </w:r>
    </w:p>
    <w:p w:rsidR="00344807" w:rsidRDefault="00344807">
      <w:pPr>
        <w:widowControl/>
        <w:suppressAutoHyphens w:val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344807" w:rsidRDefault="00FA0E22">
      <w:pPr>
        <w:ind w:firstLine="36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До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ціни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пропозиції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учасник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зобов’язаний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включити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послуги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із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замовлення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(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бронювання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)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потужності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щодо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кожного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періоду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та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обсягу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постачання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газу за договорами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постачання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природного газу.</w:t>
      </w:r>
    </w:p>
    <w:p w:rsidR="00344807" w:rsidRDefault="00FA0E22">
      <w:pPr>
        <w:ind w:firstLine="36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Ц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іна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на предмет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даної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закупівлі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обовязково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повинна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включати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до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вартості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ціни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тендерної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пропозиції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вартість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послуг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пов’язаних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з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транспортуванням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газу до точки входу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в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газорозподільну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систему, до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якої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підключено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об’єкти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Замовника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, а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саме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витрати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на оплату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послуги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замовленої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потужності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що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здійснюється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постачальником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газу на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підставі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Договору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транспортування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природного газу з Оператором ГТС,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відповідно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до норм Кодексу ГТС за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тарифами,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що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визначені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НКРЕКП.</w:t>
      </w:r>
    </w:p>
    <w:p w:rsidR="00344807" w:rsidRDefault="00FA0E22">
      <w:pPr>
        <w:jc w:val="both"/>
        <w:textAlignment w:val="auto"/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При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цьому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до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ціни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газу не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включається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вартість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послуг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з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розподілу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природного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газу,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що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є предметом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регулювання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окремого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договору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між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Замовником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та Оператором</w:t>
      </w:r>
      <w:r>
        <w:rPr>
          <w:rFonts w:ascii="Times New Roman CYR" w:eastAsia="Times New Roman" w:hAnsi="Times New Roman CYR" w:cs="Times New Roman CYR"/>
          <w:kern w:val="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газорозподільної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системи</w:t>
      </w:r>
      <w:proofErr w:type="spellEnd"/>
      <w:r>
        <w:rPr>
          <w:rFonts w:ascii="Times New Roman CYR" w:eastAsia="Times New Roman" w:hAnsi="Times New Roman CYR" w:cs="Times New Roman CYR"/>
          <w:kern w:val="0"/>
          <w:sz w:val="24"/>
          <w:szCs w:val="24"/>
          <w:lang w:val="ru-RU" w:eastAsia="zh-CN"/>
        </w:rPr>
        <w:t>.</w:t>
      </w:r>
    </w:p>
    <w:p w:rsidR="00344807" w:rsidRDefault="00344807">
      <w:pPr>
        <w:widowControl/>
        <w:suppressAutoHyphens w:val="0"/>
        <w:ind w:left="72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ru-RU" w:eastAsia="en-US"/>
        </w:rPr>
      </w:pPr>
    </w:p>
    <w:p w:rsidR="00344807" w:rsidRDefault="00FA0E22">
      <w:pPr>
        <w:widowControl/>
        <w:suppressAutoHyphens w:val="0"/>
        <w:ind w:firstLine="36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Технічні та якісні характеристики Товару за предметом закупівлі повинні відповідати встановленим/зареєстрованим діючим нормат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ивним актам законодавства (державним стандартам, технічним умовам), які передбачають застосування заходів із захисту довкілля, про що учасником надається відповідна довідка у довільній формі.</w:t>
      </w:r>
    </w:p>
    <w:p w:rsidR="00344807" w:rsidRDefault="00FA0E22">
      <w:pPr>
        <w:widowControl/>
        <w:numPr>
          <w:ilvl w:val="0"/>
          <w:numId w:val="8"/>
        </w:numPr>
        <w:suppressAutoHyphens w:val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Якісні характеристики:</w:t>
      </w:r>
    </w:p>
    <w:p w:rsidR="00344807" w:rsidRDefault="00FA0E22">
      <w:pPr>
        <w:widowControl/>
        <w:numPr>
          <w:ilvl w:val="0"/>
          <w:numId w:val="9"/>
        </w:numPr>
        <w:suppressAutoHyphens w:val="0"/>
        <w:ind w:left="709" w:firstLine="11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Якість газу, який передається Постачальни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ком Споживачу в пунктах призначення, має відповідати вимогам, установленим державними стандартами, технічними умовами, нормативно-технічними документами щодо його якості (ГОСТ 5542-87).</w:t>
      </w:r>
    </w:p>
    <w:p w:rsidR="00344807" w:rsidRDefault="00FA0E22">
      <w:pPr>
        <w:widowControl/>
        <w:numPr>
          <w:ilvl w:val="0"/>
          <w:numId w:val="10"/>
        </w:numPr>
        <w:suppressAutoHyphens w:val="0"/>
        <w:ind w:left="709" w:firstLine="11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За одиницю виміру кількості газу при його обліку приймається один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344807" w:rsidRDefault="00FA0E22">
      <w:pPr>
        <w:widowControl/>
        <w:numPr>
          <w:ilvl w:val="0"/>
          <w:numId w:val="11"/>
        </w:numPr>
        <w:suppressAutoHyphens w:val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Інші терміни використовуються у значенні, наведеному в Законі України «Про ринок природного газу».</w:t>
      </w:r>
    </w:p>
    <w:p w:rsidR="00344807" w:rsidRDefault="00344807">
      <w:pPr>
        <w:rPr>
          <w:sz w:val="24"/>
          <w:szCs w:val="24"/>
        </w:rPr>
      </w:pPr>
    </w:p>
    <w:p w:rsidR="00344807" w:rsidRDefault="00344807">
      <w:pPr>
        <w:rPr>
          <w:sz w:val="24"/>
          <w:szCs w:val="24"/>
        </w:rPr>
      </w:pPr>
    </w:p>
    <w:sectPr w:rsidR="00344807">
      <w:pgSz w:w="11906" w:h="16838"/>
      <w:pgMar w:top="851" w:right="1418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469F"/>
    <w:multiLevelType w:val="multilevel"/>
    <w:tmpl w:val="2CAE8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77FF1"/>
    <w:multiLevelType w:val="multilevel"/>
    <w:tmpl w:val="36A02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D634E4"/>
    <w:multiLevelType w:val="multilevel"/>
    <w:tmpl w:val="AD8694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658C"/>
    <w:multiLevelType w:val="multilevel"/>
    <w:tmpl w:val="CAB40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F4905"/>
    <w:multiLevelType w:val="multilevel"/>
    <w:tmpl w:val="0C8CBA6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87EED"/>
    <w:multiLevelType w:val="multilevel"/>
    <w:tmpl w:val="25E657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cs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AA052BE"/>
    <w:multiLevelType w:val="multilevel"/>
    <w:tmpl w:val="28408D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07"/>
    <w:rsid w:val="00344807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B775-CF24-4163-9332-F5E3CB57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73"/>
    <w:pPr>
      <w:widowControl w:val="0"/>
      <w:textAlignment w:val="baseline"/>
    </w:pPr>
    <w:rPr>
      <w:rFonts w:cs="Times New Roman"/>
      <w:kern w:val="2"/>
      <w:lang w:val="uk-UA" w:eastAsia="uk-UA"/>
    </w:rPr>
  </w:style>
  <w:style w:type="paragraph" w:styleId="1">
    <w:name w:val="heading 1"/>
    <w:basedOn w:val="Standard"/>
    <w:next w:val="a"/>
    <w:link w:val="10"/>
    <w:qFormat/>
    <w:rsid w:val="00556973"/>
    <w:pPr>
      <w:keepNext/>
      <w:spacing w:before="240" w:after="60"/>
      <w:outlineLvl w:val="0"/>
    </w:pPr>
    <w:rPr>
      <w:rFonts w:ascii="Calibri Light" w:eastAsia="Calibri" w:hAnsi="Calibri Light" w:cs="Calibri Light"/>
      <w:b/>
      <w:bCs/>
      <w:sz w:val="32"/>
      <w:szCs w:val="32"/>
    </w:rPr>
  </w:style>
  <w:style w:type="paragraph" w:styleId="3">
    <w:name w:val="heading 3"/>
    <w:basedOn w:val="Standard"/>
    <w:next w:val="a"/>
    <w:link w:val="30"/>
    <w:uiPriority w:val="9"/>
    <w:qFormat/>
    <w:rsid w:val="00556973"/>
    <w:pPr>
      <w:spacing w:before="280" w:after="280"/>
      <w:outlineLvl w:val="2"/>
    </w:pPr>
    <w:rPr>
      <w:rFonts w:ascii="Cambria" w:eastAsia="Calibri" w:hAnsi="Cambria" w:cs="Cambria"/>
      <w:b/>
      <w:bCs/>
      <w:color w:val="4F81B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973"/>
    <w:rPr>
      <w:rFonts w:ascii="Calibri Light" w:eastAsia="Calibri" w:hAnsi="Calibri Light" w:cs="Calibri Light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556973"/>
    <w:rPr>
      <w:rFonts w:ascii="Cambria" w:eastAsia="Calibri" w:hAnsi="Cambria" w:cs="Cambria"/>
      <w:b/>
      <w:bCs/>
      <w:color w:val="4F81BD"/>
      <w:sz w:val="24"/>
      <w:szCs w:val="24"/>
      <w:lang w:eastAsia="ar-SA"/>
    </w:rPr>
  </w:style>
  <w:style w:type="character" w:customStyle="1" w:styleId="a3">
    <w:name w:val="Обычный (веб) Знак"/>
    <w:link w:val="a4"/>
    <w:uiPriority w:val="99"/>
    <w:qFormat/>
    <w:locked/>
    <w:rsid w:val="005569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99"/>
    <w:qFormat/>
    <w:locked/>
    <w:rsid w:val="00556973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ED7966"/>
    <w:rPr>
      <w:rFonts w:ascii="Segoe UI" w:eastAsia="Calibri" w:hAnsi="Segoe UI" w:cs="Segoe UI"/>
      <w:kern w:val="2"/>
      <w:sz w:val="18"/>
      <w:szCs w:val="18"/>
      <w:lang w:val="uk-UA" w:eastAsia="uk-UA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56973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rmal (Web)"/>
    <w:basedOn w:val="Standard"/>
    <w:link w:val="a3"/>
    <w:uiPriority w:val="99"/>
    <w:qFormat/>
    <w:rsid w:val="00556973"/>
    <w:pPr>
      <w:spacing w:before="280" w:after="280"/>
    </w:pPr>
  </w:style>
  <w:style w:type="paragraph" w:styleId="ae">
    <w:name w:val="List Paragraph"/>
    <w:basedOn w:val="Standard"/>
    <w:uiPriority w:val="34"/>
    <w:qFormat/>
    <w:rsid w:val="00556973"/>
    <w:pPr>
      <w:widowControl w:val="0"/>
      <w:suppressAutoHyphens w:val="0"/>
      <w:ind w:left="173"/>
      <w:jc w:val="both"/>
    </w:pPr>
    <w:rPr>
      <w:sz w:val="22"/>
      <w:szCs w:val="22"/>
      <w:lang w:val="en-US" w:eastAsia="en-US"/>
    </w:rPr>
  </w:style>
  <w:style w:type="paragraph" w:styleId="a6">
    <w:name w:val="No Spacing"/>
    <w:link w:val="a5"/>
    <w:uiPriority w:val="99"/>
    <w:qFormat/>
    <w:rsid w:val="00556973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36462F"/>
    <w:rPr>
      <w:rFonts w:ascii="Calibri" w:eastAsiaTheme="minorEastAsia" w:hAnsi="Calibri" w:cs="Times New Roman"/>
      <w:lang w:val="uk-UA"/>
    </w:rPr>
  </w:style>
  <w:style w:type="paragraph" w:styleId="a8">
    <w:name w:val="Balloon Text"/>
    <w:basedOn w:val="a"/>
    <w:link w:val="a7"/>
    <w:uiPriority w:val="99"/>
    <w:semiHidden/>
    <w:unhideWhenUsed/>
    <w:qFormat/>
    <w:rsid w:val="00ED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F16D-74C6-4B7D-8952-7ED7444B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dc:description/>
  <cp:lastModifiedBy>Admin</cp:lastModifiedBy>
  <cp:revision>2</cp:revision>
  <cp:lastPrinted>2021-08-31T10:36:00Z</cp:lastPrinted>
  <dcterms:created xsi:type="dcterms:W3CDTF">2024-03-28T15:28:00Z</dcterms:created>
  <dcterms:modified xsi:type="dcterms:W3CDTF">2024-03-28T15:28:00Z</dcterms:modified>
  <dc:language>ru-RU</dc:language>
</cp:coreProperties>
</file>