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BA" w:rsidRPr="00916DDE" w:rsidRDefault="009751BA" w:rsidP="009751BA">
      <w:pPr>
        <w:pStyle w:val="Standard"/>
        <w:jc w:val="center"/>
        <w:rPr>
          <w:color w:val="000000" w:themeColor="text1"/>
          <w:sz w:val="28"/>
          <w:szCs w:val="28"/>
        </w:rPr>
      </w:pPr>
      <w:r w:rsidRPr="00916DDE">
        <w:rPr>
          <w:b/>
          <w:color w:val="000000" w:themeColor="text1"/>
          <w:sz w:val="28"/>
          <w:szCs w:val="28"/>
          <w:lang w:val="uk-UA"/>
        </w:rPr>
        <w:t>Хмельницький заклад дошкільної освіти №23 «Вогник» Хмельницької міської ради</w:t>
      </w:r>
    </w:p>
    <w:p w:rsidR="009751BA" w:rsidRPr="00916DDE" w:rsidRDefault="009751BA" w:rsidP="009751BA">
      <w:pPr>
        <w:pStyle w:val="Standard"/>
        <w:jc w:val="right"/>
        <w:rPr>
          <w:color w:val="auto"/>
          <w:lang w:val="uk-UA"/>
        </w:rPr>
      </w:pPr>
      <w:r w:rsidRPr="00916DDE">
        <w:rPr>
          <w:color w:val="auto"/>
          <w:lang w:val="uk-UA"/>
        </w:rPr>
        <w:t>«Затверджено»</w:t>
      </w:r>
    </w:p>
    <w:p w:rsidR="009751BA" w:rsidRPr="00916DDE" w:rsidRDefault="009751BA" w:rsidP="009751BA">
      <w:pPr>
        <w:pStyle w:val="Standard"/>
        <w:jc w:val="right"/>
        <w:rPr>
          <w:color w:val="auto"/>
          <w:lang w:val="uk-UA"/>
        </w:rPr>
      </w:pPr>
      <w:r w:rsidRPr="00916DDE">
        <w:rPr>
          <w:color w:val="auto"/>
          <w:lang w:val="uk-UA"/>
        </w:rPr>
        <w:t>Уповноважена особа:</w:t>
      </w:r>
    </w:p>
    <w:p w:rsidR="009751BA" w:rsidRPr="00916DDE" w:rsidRDefault="009751BA" w:rsidP="009751BA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Наталія ГАРМАТЮК</w:t>
      </w:r>
    </w:p>
    <w:p w:rsidR="009751BA" w:rsidRPr="00916DDE" w:rsidRDefault="009751BA" w:rsidP="009751BA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«23» вересня</w:t>
      </w:r>
      <w:r w:rsidRPr="00916DDE">
        <w:rPr>
          <w:color w:val="000000" w:themeColor="text1"/>
          <w:lang w:val="uk-UA"/>
        </w:rPr>
        <w:t xml:space="preserve"> 2022 року</w:t>
      </w:r>
    </w:p>
    <w:p w:rsidR="00DD614E" w:rsidRDefault="00DD614E" w:rsidP="009D6E2F">
      <w:pPr>
        <w:pStyle w:val="Standard"/>
        <w:jc w:val="center"/>
        <w:rPr>
          <w:color w:val="auto"/>
          <w:lang w:val="uk-UA"/>
        </w:rPr>
      </w:pPr>
    </w:p>
    <w:p w:rsidR="009D6E2F" w:rsidRPr="00011B30" w:rsidRDefault="009D6E2F" w:rsidP="009D6E2F">
      <w:pPr>
        <w:pStyle w:val="Standard"/>
        <w:jc w:val="center"/>
        <w:rPr>
          <w:b/>
          <w:bCs/>
          <w:color w:val="auto"/>
          <w:lang w:val="uk-UA"/>
        </w:rPr>
      </w:pPr>
      <w:r w:rsidRPr="00011B30">
        <w:rPr>
          <w:b/>
          <w:bCs/>
          <w:color w:val="auto"/>
          <w:lang w:val="uk-UA"/>
        </w:rPr>
        <w:t xml:space="preserve">ОГОЛОШЕННЯ </w:t>
      </w:r>
    </w:p>
    <w:p w:rsidR="009D6E2F" w:rsidRPr="00011B30" w:rsidRDefault="009D6E2F" w:rsidP="009D6E2F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9751BA" w:rsidRPr="009751BA" w:rsidRDefault="009751BA" w:rsidP="009751BA">
            <w:pPr>
              <w:widowControl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751BA">
              <w:rPr>
                <w:b/>
                <w:color w:val="000000" w:themeColor="text1"/>
                <w:sz w:val="24"/>
                <w:szCs w:val="24"/>
                <w:lang w:val="uk-UA"/>
              </w:rPr>
              <w:t>Хмельницький заклад дошкільної освіти №23 «Вогник» Хмельницької міської ради Хмельницької області</w:t>
            </w:r>
          </w:p>
          <w:p w:rsidR="009751BA" w:rsidRPr="009751BA" w:rsidRDefault="009751BA" w:rsidP="009751BA">
            <w:pPr>
              <w:widowControl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751B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29010, місто Хмельницький, </w:t>
            </w:r>
          </w:p>
          <w:p w:rsidR="009751BA" w:rsidRPr="009751BA" w:rsidRDefault="009751BA" w:rsidP="009751BA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751BA">
              <w:rPr>
                <w:b/>
                <w:color w:val="000000" w:themeColor="text1"/>
                <w:sz w:val="24"/>
                <w:szCs w:val="24"/>
                <w:lang w:val="uk-UA"/>
              </w:rPr>
              <w:t>Вулиця Бажана, 2</w:t>
            </w:r>
          </w:p>
          <w:p w:rsidR="009751BA" w:rsidRPr="009751BA" w:rsidRDefault="009751BA" w:rsidP="009751BA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751B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ЄДРПОУ: </w:t>
            </w:r>
            <w:r w:rsidRPr="009751BA">
              <w:rPr>
                <w:b/>
                <w:color w:val="000000" w:themeColor="text1"/>
                <w:sz w:val="24"/>
                <w:szCs w:val="24"/>
              </w:rPr>
              <w:t>22765016</w:t>
            </w:r>
          </w:p>
          <w:p w:rsidR="009D6E2F" w:rsidRPr="00011B30" w:rsidRDefault="009751BA" w:rsidP="009751BA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9751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9751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751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9751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751BA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9751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9D6E2F" w:rsidRPr="00011B30" w:rsidRDefault="009D6E2F" w:rsidP="00EE57FA">
            <w:pPr>
              <w:pStyle w:val="rvps2"/>
              <w:shd w:val="clear" w:color="auto" w:fill="FFFFFF"/>
              <w:jc w:val="center"/>
              <w:rPr>
                <w:b/>
                <w:lang w:val="uk-UA"/>
              </w:rPr>
            </w:pPr>
            <w:bookmarkStart w:id="12" w:name="_GoBack"/>
            <w:bookmarkEnd w:id="12"/>
            <w:r w:rsidRPr="00D15530">
              <w:rPr>
                <w:b/>
                <w:lang w:val="uk-UA"/>
              </w:rPr>
              <w:t xml:space="preserve">код </w:t>
            </w:r>
            <w:r w:rsidRPr="009304EA">
              <w:rPr>
                <w:b/>
                <w:lang w:val="uk-UA"/>
              </w:rPr>
              <w:t>ДК 021:2015-</w:t>
            </w:r>
            <w:r w:rsidRPr="00E75649">
              <w:t xml:space="preserve"> </w:t>
            </w:r>
            <w:r>
              <w:rPr>
                <w:b/>
                <w:lang w:val="uk-UA"/>
              </w:rPr>
              <w:t>09310000-5 «Електрична енергія» (Електрична енергія</w:t>
            </w:r>
            <w:r w:rsidRPr="00D15530">
              <w:rPr>
                <w:b/>
                <w:lang w:val="uk-UA"/>
              </w:rPr>
              <w:t>)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9D6E2F" w:rsidRPr="00011B30" w:rsidRDefault="009D6E2F" w:rsidP="00EE57FA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9D6E2F" w:rsidRPr="00830F95" w:rsidRDefault="009D6E2F" w:rsidP="009D6E2F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9D6E2F" w:rsidRDefault="009D6E2F" w:rsidP="009D6E2F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  <w:r w:rsidRPr="007616E1"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1 «Технічні та якісні вимоги до предмету закупівлі</w:t>
            </w:r>
            <w:r>
              <w:rPr>
                <w:bCs/>
                <w:kern w:val="0"/>
                <w:sz w:val="24"/>
                <w:szCs w:val="24"/>
                <w:lang w:val="uk-UA"/>
              </w:rPr>
              <w:t>»</w:t>
            </w:r>
            <w:r w:rsidRPr="00830F95">
              <w:rPr>
                <w:bCs/>
                <w:kern w:val="0"/>
                <w:sz w:val="24"/>
                <w:szCs w:val="24"/>
                <w:lang w:val="uk-UA"/>
              </w:rPr>
              <w:t>;</w:t>
            </w:r>
          </w:p>
          <w:p w:rsidR="009D6E2F" w:rsidRDefault="009D6E2F" w:rsidP="009D6E2F">
            <w:pPr>
              <w:pStyle w:val="Standard"/>
              <w:jc w:val="both"/>
              <w:rPr>
                <w:color w:val="auto"/>
                <w:lang w:val="uk-UA"/>
              </w:rPr>
            </w:pPr>
          </w:p>
          <w:p w:rsidR="009D6E2F" w:rsidRPr="00830F95" w:rsidRDefault="009D6E2F" w:rsidP="009D6E2F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9D6E2F" w:rsidRDefault="009D6E2F" w:rsidP="009D6E2F">
            <w:pPr>
              <w:pStyle w:val="Standard"/>
              <w:rPr>
                <w:bCs/>
                <w:lang w:val="uk-UA"/>
              </w:rPr>
            </w:pPr>
            <w:proofErr w:type="spellStart"/>
            <w:r>
              <w:t>Хмельницька</w:t>
            </w:r>
            <w:proofErr w:type="spellEnd"/>
            <w:r>
              <w:t xml:space="preserve"> </w:t>
            </w:r>
            <w:proofErr w:type="spellStart"/>
            <w:r>
              <w:t>обл</w:t>
            </w:r>
            <w:r>
              <w:rPr>
                <w:lang w:val="uk-UA"/>
              </w:rPr>
              <w:t>асть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м.Хмельницький</w:t>
            </w:r>
            <w:proofErr w:type="spellEnd"/>
            <w:proofErr w:type="gramStart"/>
            <w:r>
              <w:rPr>
                <w:color w:val="auto"/>
                <w:lang w:val="uk-UA"/>
              </w:rPr>
              <w:t xml:space="preserve">,  </w:t>
            </w:r>
            <w:r w:rsidRPr="00CC1F01">
              <w:rPr>
                <w:bCs/>
                <w:lang w:val="uk-UA"/>
              </w:rPr>
              <w:t>точки</w:t>
            </w:r>
            <w:proofErr w:type="gramEnd"/>
            <w:r w:rsidRPr="00CC1F01">
              <w:rPr>
                <w:bCs/>
                <w:lang w:val="uk-UA"/>
              </w:rPr>
              <w:t xml:space="preserve"> комерційного обліку об’єктів споживач</w:t>
            </w:r>
            <w:r>
              <w:rPr>
                <w:bCs/>
                <w:lang w:val="uk-UA"/>
              </w:rPr>
              <w:t>а.</w:t>
            </w:r>
          </w:p>
          <w:p w:rsidR="009D6E2F" w:rsidRPr="0039245F" w:rsidRDefault="009D6E2F" w:rsidP="00EE57FA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011B30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9D6E2F" w:rsidRPr="00011B30" w:rsidRDefault="000E245B" w:rsidP="00EE57FA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до 31 грудня 2022</w:t>
            </w:r>
            <w:r w:rsidR="009D6E2F" w:rsidRPr="006C5549">
              <w:rPr>
                <w:lang w:val="uk-UA"/>
              </w:rPr>
              <w:t xml:space="preserve"> року</w:t>
            </w:r>
            <w:r w:rsidR="009D6E2F" w:rsidRPr="00011B30">
              <w:rPr>
                <w:color w:val="auto"/>
                <w:lang w:val="uk-UA"/>
              </w:rPr>
              <w:t>.</w:t>
            </w:r>
          </w:p>
        </w:tc>
      </w:tr>
      <w:tr w:rsidR="009D6E2F" w:rsidRPr="00094D7B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9D6E2F" w:rsidRPr="00621F60" w:rsidRDefault="00621F60" w:rsidP="009D6E2F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621F60">
              <w:rPr>
                <w:color w:val="auto"/>
                <w:lang w:val="uk-UA" w:eastAsia="uk-UA"/>
              </w:rPr>
              <w:t xml:space="preserve">Споживач здійснює оплату згідно виставленого Постачальником рахунку на оплату, на підставі підписаного Сторонами </w:t>
            </w:r>
            <w:proofErr w:type="spellStart"/>
            <w:r w:rsidRPr="00621F60">
              <w:rPr>
                <w:color w:val="auto"/>
                <w:lang w:val="uk-UA" w:eastAsia="uk-UA"/>
              </w:rPr>
              <w:t>Акта</w:t>
            </w:r>
            <w:proofErr w:type="spellEnd"/>
            <w:r w:rsidRPr="00621F60">
              <w:rPr>
                <w:color w:val="auto"/>
                <w:lang w:val="uk-UA" w:eastAsia="uk-UA"/>
              </w:rPr>
              <w:t xml:space="preserve"> приймання-передачі електричної енергії не пізніше ніж протягом 5 (п’яти) робочих днів з моменту його підписання, шляхом оплати повної вартості спожитої електричної енергії. </w:t>
            </w:r>
            <w:proofErr w:type="spellStart"/>
            <w:r w:rsidRPr="00621F60">
              <w:rPr>
                <w:color w:val="auto"/>
                <w:lang w:eastAsia="uk-UA"/>
              </w:rPr>
              <w:t>Післяоплата</w:t>
            </w:r>
            <w:proofErr w:type="spellEnd"/>
            <w:r w:rsidRPr="00621F60">
              <w:rPr>
                <w:color w:val="auto"/>
                <w:lang w:eastAsia="uk-UA"/>
              </w:rPr>
              <w:t xml:space="preserve"> – 100%</w:t>
            </w:r>
          </w:p>
        </w:tc>
      </w:tr>
      <w:tr w:rsidR="009D6E2F" w:rsidRPr="00094D7B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9D6E2F" w:rsidRPr="00011B30" w:rsidRDefault="001538E9" w:rsidP="00EE57FA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1538E9">
              <w:rPr>
                <w:b/>
                <w:color w:val="auto"/>
                <w:lang w:val="uk-UA"/>
              </w:rPr>
              <w:t>13640</w:t>
            </w:r>
            <w:r w:rsidR="00DD614E">
              <w:rPr>
                <w:b/>
                <w:color w:val="auto"/>
                <w:lang w:val="uk-UA"/>
              </w:rPr>
              <w:t xml:space="preserve"> </w:t>
            </w:r>
            <w:r w:rsidR="009D6E2F" w:rsidRPr="006E6C43">
              <w:rPr>
                <w:b/>
                <w:color w:val="auto"/>
                <w:lang w:val="uk-UA"/>
              </w:rPr>
              <w:t>грн</w:t>
            </w:r>
            <w:r w:rsidR="009D6E2F" w:rsidRPr="006E6C43">
              <w:rPr>
                <w:b/>
                <w:lang w:val="uk-UA"/>
              </w:rPr>
              <w:t>.</w:t>
            </w:r>
            <w:r w:rsidR="009D6E2F" w:rsidRPr="00011B30">
              <w:rPr>
                <w:b/>
                <w:lang w:val="uk-UA"/>
              </w:rPr>
              <w:t xml:space="preserve"> 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9D6E2F" w:rsidRPr="00011B30" w:rsidRDefault="00DD614E" w:rsidP="00FB1047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</w:t>
            </w:r>
            <w:r w:rsidR="00160660">
              <w:rPr>
                <w:b/>
                <w:color w:val="auto"/>
                <w:lang w:val="en-US" w:eastAsia="uk-UA"/>
              </w:rPr>
              <w:t>29</w:t>
            </w:r>
            <w:r w:rsidR="009D6E2F" w:rsidRPr="00011B30">
              <w:rPr>
                <w:b/>
                <w:color w:val="auto"/>
                <w:lang w:val="uk-UA" w:eastAsia="uk-UA"/>
              </w:rPr>
              <w:t xml:space="preserve">» </w:t>
            </w:r>
            <w:r>
              <w:rPr>
                <w:b/>
                <w:color w:val="auto"/>
                <w:lang w:val="uk-UA" w:eastAsia="uk-UA"/>
              </w:rPr>
              <w:t>вересня 2022</w:t>
            </w:r>
            <w:r w:rsidR="009D6E2F" w:rsidRPr="00011B30">
              <w:rPr>
                <w:b/>
                <w:color w:val="auto"/>
                <w:lang w:val="uk-UA" w:eastAsia="uk-UA"/>
              </w:rPr>
              <w:t xml:space="preserve"> року 15:00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011B30">
              <w:rPr>
                <w:lang w:val="uk-UA"/>
              </w:rPr>
              <w:t>закупівель</w:t>
            </w:r>
            <w:proofErr w:type="spellEnd"/>
            <w:r w:rsidRPr="00011B30">
              <w:rPr>
                <w:lang w:val="uk-UA"/>
              </w:rPr>
              <w:t>)</w:t>
            </w:r>
          </w:p>
        </w:tc>
        <w:tc>
          <w:tcPr>
            <w:tcW w:w="5728" w:type="dxa"/>
          </w:tcPr>
          <w:p w:rsidR="009D6E2F" w:rsidRPr="00011B30" w:rsidRDefault="009D6E2F" w:rsidP="00FB1047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011B30">
              <w:rPr>
                <w:b/>
                <w:color w:val="auto"/>
                <w:lang w:val="uk-UA" w:eastAsia="uk-UA"/>
              </w:rPr>
              <w:t>до «</w:t>
            </w:r>
            <w:r w:rsidR="00160660">
              <w:rPr>
                <w:b/>
                <w:color w:val="auto"/>
                <w:lang w:val="en-US" w:eastAsia="uk-UA"/>
              </w:rPr>
              <w:t>05</w:t>
            </w:r>
            <w:r w:rsidRPr="00011B30">
              <w:rPr>
                <w:b/>
                <w:color w:val="auto"/>
                <w:lang w:val="uk-UA" w:eastAsia="uk-UA"/>
              </w:rPr>
              <w:t xml:space="preserve">» </w:t>
            </w:r>
            <w:r w:rsidR="00160660">
              <w:rPr>
                <w:b/>
                <w:color w:val="auto"/>
                <w:lang w:val="uk-UA" w:eastAsia="uk-UA"/>
              </w:rPr>
              <w:t>жовтня</w:t>
            </w:r>
            <w:r w:rsidR="00FB1047" w:rsidRPr="00011B30">
              <w:rPr>
                <w:b/>
                <w:color w:val="auto"/>
                <w:lang w:val="uk-UA" w:eastAsia="uk-UA"/>
              </w:rPr>
              <w:t xml:space="preserve"> </w:t>
            </w:r>
            <w:r w:rsidR="00DD614E">
              <w:rPr>
                <w:b/>
                <w:color w:val="auto"/>
                <w:lang w:val="uk-UA" w:eastAsia="uk-UA"/>
              </w:rPr>
              <w:t>2022</w:t>
            </w:r>
            <w:r w:rsidRPr="00011B30">
              <w:rPr>
                <w:b/>
                <w:color w:val="auto"/>
                <w:lang w:val="uk-UA" w:eastAsia="uk-UA"/>
              </w:rPr>
              <w:t xml:space="preserve"> року 15:00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 xml:space="preserve">10) перелік критеріїв та методика оцінки </w:t>
            </w:r>
            <w:r w:rsidRPr="00011B30">
              <w:rPr>
                <w:lang w:val="uk-UA"/>
              </w:rPr>
              <w:lastRenderedPageBreak/>
              <w:t>пропозицій із зазначенням питомої ваги критеріїв</w:t>
            </w:r>
          </w:p>
        </w:tc>
        <w:tc>
          <w:tcPr>
            <w:tcW w:w="5728" w:type="dxa"/>
          </w:tcPr>
          <w:p w:rsidR="009D6E2F" w:rsidRPr="00011B30" w:rsidRDefault="009D6E2F" w:rsidP="00EE57F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11B30">
              <w:rPr>
                <w:sz w:val="24"/>
                <w:szCs w:val="24"/>
                <w:lang w:val="uk-UA"/>
              </w:rPr>
              <w:lastRenderedPageBreak/>
              <w:t xml:space="preserve">Єдиним критерієм оцінки пропозицій на дану </w:t>
            </w:r>
            <w:r w:rsidRPr="00011B30">
              <w:rPr>
                <w:sz w:val="24"/>
                <w:szCs w:val="24"/>
                <w:lang w:val="uk-UA"/>
              </w:rPr>
              <w:lastRenderedPageBreak/>
              <w:t xml:space="preserve">закупівлю є ціна. </w:t>
            </w:r>
          </w:p>
          <w:p w:rsidR="009D6E2F" w:rsidRPr="00011B30" w:rsidRDefault="009D6E2F" w:rsidP="00EE57F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11B30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9D6E2F" w:rsidRPr="00011B30" w:rsidRDefault="009D6E2F" w:rsidP="00EE57FA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011B30">
              <w:rPr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урахуванням ПДВ.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9D6E2F" w:rsidRPr="00011B30" w:rsidRDefault="009D6E2F" w:rsidP="00EE57FA">
            <w:pPr>
              <w:jc w:val="both"/>
              <w:rPr>
                <w:sz w:val="24"/>
                <w:szCs w:val="24"/>
                <w:lang w:val="uk-UA"/>
              </w:rPr>
            </w:pPr>
            <w:r w:rsidRPr="00011B30">
              <w:rPr>
                <w:sz w:val="24"/>
                <w:szCs w:val="24"/>
                <w:lang w:val="uk-UA"/>
              </w:rPr>
              <w:t xml:space="preserve">Забезпечення пропозицій учасників – не вимагається. </w:t>
            </w:r>
          </w:p>
          <w:p w:rsidR="009D6E2F" w:rsidRPr="00011B30" w:rsidRDefault="009D6E2F" w:rsidP="00EE57F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 w:eastAsia="uk-UA"/>
              </w:rPr>
            </w:pP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9D6E2F" w:rsidRPr="00011B30" w:rsidRDefault="009D6E2F" w:rsidP="00EE57FA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011B30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011B30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9D6E2F" w:rsidRPr="00011B30" w:rsidRDefault="009D6E2F" w:rsidP="00EE57FA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011B30">
              <w:rPr>
                <w:b/>
                <w:color w:val="auto"/>
                <w:lang w:val="uk-UA" w:eastAsia="uk-UA"/>
              </w:rPr>
              <w:t>0,5%.</w:t>
            </w:r>
          </w:p>
        </w:tc>
      </w:tr>
      <w:tr w:rsidR="009D6E2F" w:rsidRPr="00011B30" w:rsidTr="00EE57FA">
        <w:tc>
          <w:tcPr>
            <w:tcW w:w="10372" w:type="dxa"/>
            <w:gridSpan w:val="2"/>
          </w:tcPr>
          <w:p w:rsidR="009D6E2F" w:rsidRPr="00011B30" w:rsidRDefault="009D6E2F" w:rsidP="00EE57FA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011B30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9D6E2F" w:rsidRPr="00011B30" w:rsidTr="00EE57FA">
        <w:tc>
          <w:tcPr>
            <w:tcW w:w="4644" w:type="dxa"/>
          </w:tcPr>
          <w:p w:rsidR="009D6E2F" w:rsidRPr="00011B30" w:rsidRDefault="009D6E2F" w:rsidP="00EE57FA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011B30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9D6E2F" w:rsidRPr="00830F95" w:rsidRDefault="009D6E2F" w:rsidP="009D6E2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9D6E2F" w:rsidRPr="009D6E2F" w:rsidRDefault="009D6E2F" w:rsidP="00EE57FA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договору.</w:t>
            </w:r>
          </w:p>
        </w:tc>
      </w:tr>
      <w:tr w:rsidR="009D6E2F" w:rsidRPr="009D6E2F" w:rsidTr="00EE57FA">
        <w:tc>
          <w:tcPr>
            <w:tcW w:w="10372" w:type="dxa"/>
            <w:gridSpan w:val="2"/>
          </w:tcPr>
          <w:p w:rsidR="009D6E2F" w:rsidRPr="00CA27E9" w:rsidRDefault="009D6E2F" w:rsidP="009D6E2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color w:val="auto"/>
                <w:lang w:val="uk-UA"/>
              </w:rPr>
              <w:t xml:space="preserve">б) </w:t>
            </w:r>
            <w:r w:rsidRPr="00830F95">
              <w:rPr>
                <w:color w:val="auto"/>
                <w:lang w:val="uk-UA"/>
              </w:rPr>
              <w:t xml:space="preserve">Перелік документів, які має надати учасник закупівлі 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</w:t>
            </w:r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форматі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>)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 вигляді в складі своєї пропозиції</w:t>
            </w:r>
            <w:r w:rsidRPr="00830F95">
              <w:rPr>
                <w:color w:val="auto"/>
                <w:lang w:val="uk-UA"/>
              </w:rPr>
              <w:t>:</w:t>
            </w:r>
          </w:p>
          <w:p w:rsidR="009D6E2F" w:rsidRPr="00830F95" w:rsidRDefault="009D6E2F" w:rsidP="009D6E2F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9D6E2F" w:rsidRPr="00830F95" w:rsidRDefault="009D6E2F" w:rsidP="009D6E2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–    Заповнений</w:t>
            </w:r>
            <w:r>
              <w:rPr>
                <w:color w:val="auto"/>
                <w:lang w:val="uk-UA"/>
              </w:rPr>
              <w:t xml:space="preserve"> та сканований</w:t>
            </w:r>
            <w:r w:rsidRPr="00830F95">
              <w:rPr>
                <w:color w:val="auto"/>
                <w:lang w:val="uk-UA"/>
              </w:rPr>
              <w:t xml:space="preserve">– </w:t>
            </w: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9D6E2F" w:rsidRDefault="009D6E2F" w:rsidP="009D6E2F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–    Заповнений</w:t>
            </w:r>
            <w:r>
              <w:rPr>
                <w:color w:val="auto"/>
                <w:lang w:val="uk-UA"/>
              </w:rPr>
              <w:t xml:space="preserve"> та сканований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</w:t>
            </w:r>
            <w:r>
              <w:rPr>
                <w:color w:val="auto"/>
                <w:lang w:val="uk-UA"/>
              </w:rPr>
              <w:t>вору, або довідку в довільній формі про погодження з умовами договору.</w:t>
            </w:r>
          </w:p>
          <w:p w:rsidR="009D6E2F" w:rsidRPr="00830F95" w:rsidRDefault="009D6E2F" w:rsidP="009D6E2F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011B30">
              <w:rPr>
                <w:b/>
                <w:color w:val="auto"/>
                <w:lang w:val="uk-UA"/>
              </w:rPr>
              <w:t>Примітки:</w:t>
            </w:r>
            <w:r w:rsidRPr="00011B30">
              <w:rPr>
                <w:color w:val="auto"/>
                <w:lang w:val="uk-UA"/>
              </w:rPr>
              <w:t xml:space="preserve"> </w:t>
            </w:r>
            <w:r w:rsidRPr="00830F95">
              <w:rPr>
                <w:color w:val="auto"/>
                <w:lang w:val="uk-UA"/>
              </w:rPr>
              <w:t>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9D6E2F" w:rsidRDefault="009D6E2F" w:rsidP="009D6E2F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Документи повинні бути надані в електронному вигляді (скановані) та містити розбірливі </w:t>
            </w:r>
            <w:r w:rsidRPr="007F2CDF">
              <w:rPr>
                <w:color w:val="auto"/>
                <w:lang w:val="uk-UA"/>
              </w:rPr>
              <w:t xml:space="preserve">зображення. При виготовлені </w:t>
            </w:r>
            <w:proofErr w:type="spellStart"/>
            <w:r w:rsidRPr="007F2CDF">
              <w:rPr>
                <w:color w:val="auto"/>
                <w:lang w:val="uk-UA"/>
              </w:rPr>
              <w:t>сканкопій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документів, які подаються Учасником, повинно бути відтворено 100% інформації, що містить паперовий носій цього документу, з якого було виготовлено відповідну </w:t>
            </w:r>
            <w:proofErr w:type="spellStart"/>
            <w:r w:rsidRPr="007F2CDF">
              <w:rPr>
                <w:color w:val="auto"/>
                <w:lang w:val="uk-UA"/>
              </w:rPr>
              <w:t>сканкопію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документу.</w:t>
            </w:r>
          </w:p>
          <w:p w:rsidR="009D6E2F" w:rsidRPr="006069F3" w:rsidRDefault="009D6E2F" w:rsidP="009D6E2F">
            <w:pPr>
              <w:keepNext/>
              <w:keepLines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6069F3">
              <w:rPr>
                <w:i/>
                <w:color w:val="000000"/>
                <w:sz w:val="24"/>
                <w:szCs w:val="24"/>
                <w:lang w:val="uk-UA"/>
              </w:rPr>
              <w:t>Відповідно до пунктів 1.2.6 та 4.31 Правил роздрібного ринку електроенергії, затверджених постановою НКРЕКП №312 від 14.03.2018, передбачено внесення Замовником (Споживачем) плати за послуги з передачі та розподілу електричної енергії ОСП через Учасника (Постачальника), а також включення сум оплати послуг систем оператора в платіжні документи.</w:t>
            </w:r>
          </w:p>
          <w:p w:rsidR="009D6E2F" w:rsidRDefault="009D6E2F" w:rsidP="009D6E2F">
            <w:pPr>
              <w:keepNext/>
              <w:keepLines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069F3">
              <w:rPr>
                <w:i/>
                <w:color w:val="000000"/>
                <w:sz w:val="24"/>
                <w:szCs w:val="24"/>
                <w:lang w:val="uk-UA"/>
              </w:rPr>
              <w:t xml:space="preserve"> Закупівля здійснюється на очікувану вартість згідно потреби </w:t>
            </w:r>
            <w:r w:rsidR="00437202">
              <w:rPr>
                <w:i/>
                <w:color w:val="000000"/>
                <w:sz w:val="24"/>
                <w:szCs w:val="24"/>
                <w:lang w:val="uk-UA"/>
              </w:rPr>
              <w:t>на 2022 рік</w:t>
            </w:r>
            <w:r w:rsidRPr="006069F3">
              <w:rPr>
                <w:i/>
                <w:color w:val="000000"/>
                <w:sz w:val="24"/>
                <w:szCs w:val="24"/>
                <w:lang w:val="uk-UA"/>
              </w:rPr>
              <w:t>,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9D6E2F" w:rsidRDefault="009D6E2F" w:rsidP="009D6E2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9D6E2F" w:rsidRPr="007F2CDF" w:rsidRDefault="009D6E2F" w:rsidP="009D6E2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2CDF">
              <w:rPr>
                <w:b/>
                <w:sz w:val="24"/>
                <w:szCs w:val="24"/>
                <w:lang w:val="uk-UA"/>
              </w:rPr>
              <w:t>Додаткова інформація:</w:t>
            </w:r>
          </w:p>
          <w:p w:rsidR="009D6E2F" w:rsidRPr="007F2CDF" w:rsidRDefault="009D6E2F" w:rsidP="009D6E2F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861361">
              <w:rPr>
                <w:color w:val="auto"/>
                <w:lang w:val="uk-UA"/>
              </w:rPr>
              <w:t xml:space="preserve">Відповідно до частини 3 статті 12 Закону </w:t>
            </w:r>
            <w:r>
              <w:rPr>
                <w:color w:val="auto"/>
                <w:lang w:val="uk-UA"/>
              </w:rPr>
              <w:t>України «Про публічні закупівлі»,</w:t>
            </w:r>
            <w:r w:rsidRPr="00861361">
              <w:rPr>
                <w:color w:val="auto"/>
                <w:lang w:val="uk-UA"/>
              </w:rPr>
              <w:t xml:space="preserve"> під час використання електронної системи </w:t>
            </w:r>
            <w:proofErr w:type="spellStart"/>
            <w:r w:rsidRPr="00861361">
              <w:rPr>
                <w:color w:val="auto"/>
                <w:lang w:val="uk-UA"/>
              </w:rPr>
              <w:t>закупівель</w:t>
            </w:r>
            <w:proofErr w:type="spellEnd"/>
            <w:r w:rsidRPr="00861361">
              <w:rPr>
                <w:color w:val="auto"/>
                <w:lang w:val="uk-UA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176232">
              <w:rPr>
                <w:color w:val="auto"/>
              </w:rPr>
              <w:t>Всі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документи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пропозиції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подаються</w:t>
            </w:r>
            <w:proofErr w:type="spellEnd"/>
            <w:r w:rsidRPr="00176232">
              <w:rPr>
                <w:color w:val="auto"/>
              </w:rPr>
              <w:t xml:space="preserve"> в </w:t>
            </w:r>
            <w:proofErr w:type="spellStart"/>
            <w:r w:rsidRPr="00176232">
              <w:rPr>
                <w:color w:val="auto"/>
              </w:rPr>
              <w:t>електронному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вигляді</w:t>
            </w:r>
            <w:proofErr w:type="spellEnd"/>
            <w:r w:rsidRPr="00176232">
              <w:rPr>
                <w:color w:val="auto"/>
              </w:rPr>
              <w:t xml:space="preserve"> через </w:t>
            </w:r>
            <w:proofErr w:type="spellStart"/>
            <w:r w:rsidRPr="00176232">
              <w:rPr>
                <w:color w:val="auto"/>
              </w:rPr>
              <w:t>електронну</w:t>
            </w:r>
            <w:proofErr w:type="spellEnd"/>
            <w:r w:rsidRPr="00176232">
              <w:rPr>
                <w:color w:val="auto"/>
              </w:rPr>
              <w:t xml:space="preserve"> систему </w:t>
            </w:r>
            <w:proofErr w:type="spellStart"/>
            <w:r w:rsidRPr="00176232">
              <w:rPr>
                <w:color w:val="auto"/>
              </w:rPr>
              <w:t>закупівель</w:t>
            </w:r>
            <w:proofErr w:type="spellEnd"/>
            <w:r w:rsidRPr="00176232">
              <w:rPr>
                <w:color w:val="auto"/>
              </w:rPr>
              <w:t xml:space="preserve"> шляхом </w:t>
            </w:r>
            <w:proofErr w:type="spellStart"/>
            <w:r w:rsidRPr="00176232">
              <w:rPr>
                <w:color w:val="auto"/>
              </w:rPr>
              <w:t>завантаження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сканованих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документів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або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електронних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документів</w:t>
            </w:r>
            <w:proofErr w:type="spellEnd"/>
            <w:r w:rsidRPr="00176232">
              <w:rPr>
                <w:color w:val="auto"/>
              </w:rPr>
              <w:t xml:space="preserve"> в </w:t>
            </w:r>
            <w:proofErr w:type="spellStart"/>
            <w:r w:rsidRPr="00176232">
              <w:rPr>
                <w:color w:val="auto"/>
              </w:rPr>
              <w:t>електронну</w:t>
            </w:r>
            <w:proofErr w:type="spellEnd"/>
            <w:r w:rsidRPr="00176232">
              <w:rPr>
                <w:color w:val="auto"/>
              </w:rPr>
              <w:t xml:space="preserve"> систему </w:t>
            </w:r>
            <w:proofErr w:type="spellStart"/>
            <w:r w:rsidRPr="00176232">
              <w:rPr>
                <w:color w:val="auto"/>
              </w:rPr>
              <w:t>закупівель</w:t>
            </w:r>
            <w:proofErr w:type="spellEnd"/>
            <w:r w:rsidRPr="00176232">
              <w:rPr>
                <w:color w:val="auto"/>
              </w:rPr>
              <w:t xml:space="preserve">. </w:t>
            </w:r>
            <w:proofErr w:type="spellStart"/>
            <w:r w:rsidRPr="00176232">
              <w:rPr>
                <w:color w:val="auto"/>
              </w:rPr>
              <w:t>Документи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мають</w:t>
            </w:r>
            <w:proofErr w:type="spellEnd"/>
            <w:r w:rsidRPr="00176232">
              <w:rPr>
                <w:color w:val="auto"/>
              </w:rPr>
              <w:t xml:space="preserve"> бути </w:t>
            </w:r>
            <w:proofErr w:type="spellStart"/>
            <w:r w:rsidRPr="00176232">
              <w:rPr>
                <w:color w:val="auto"/>
              </w:rPr>
              <w:t>належного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рівня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зображення</w:t>
            </w:r>
            <w:proofErr w:type="spellEnd"/>
            <w:r w:rsidRPr="00176232">
              <w:rPr>
                <w:color w:val="auto"/>
              </w:rPr>
              <w:t xml:space="preserve"> (</w:t>
            </w:r>
            <w:proofErr w:type="spellStart"/>
            <w:r w:rsidRPr="00176232">
              <w:rPr>
                <w:color w:val="auto"/>
              </w:rPr>
              <w:t>чіткими</w:t>
            </w:r>
            <w:proofErr w:type="spellEnd"/>
            <w:r w:rsidRPr="00176232">
              <w:rPr>
                <w:color w:val="auto"/>
              </w:rPr>
              <w:t xml:space="preserve"> та </w:t>
            </w:r>
            <w:proofErr w:type="spellStart"/>
            <w:r w:rsidRPr="00176232">
              <w:rPr>
                <w:color w:val="auto"/>
              </w:rPr>
              <w:t>розбірливими</w:t>
            </w:r>
            <w:proofErr w:type="spellEnd"/>
            <w:r w:rsidRPr="00176232">
              <w:rPr>
                <w:color w:val="auto"/>
              </w:rPr>
              <w:t xml:space="preserve"> для </w:t>
            </w:r>
            <w:proofErr w:type="spellStart"/>
            <w:r w:rsidRPr="00176232">
              <w:rPr>
                <w:color w:val="auto"/>
              </w:rPr>
              <w:t>читання</w:t>
            </w:r>
            <w:proofErr w:type="spellEnd"/>
            <w:r w:rsidRPr="00176232">
              <w:rPr>
                <w:color w:val="auto"/>
              </w:rPr>
              <w:t xml:space="preserve">). </w:t>
            </w:r>
            <w:proofErr w:type="spellStart"/>
            <w:r w:rsidRPr="00176232">
              <w:rPr>
                <w:color w:val="auto"/>
              </w:rPr>
              <w:t>Учасник</w:t>
            </w:r>
            <w:proofErr w:type="spellEnd"/>
            <w:r w:rsidRPr="00176232">
              <w:rPr>
                <w:color w:val="auto"/>
              </w:rPr>
              <w:t xml:space="preserve"> повинен </w:t>
            </w:r>
            <w:proofErr w:type="spellStart"/>
            <w:r w:rsidRPr="00176232">
              <w:rPr>
                <w:color w:val="auto"/>
              </w:rPr>
              <w:t>накласти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кваліфікований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електронний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підпис</w:t>
            </w:r>
            <w:proofErr w:type="spellEnd"/>
            <w:r w:rsidRPr="00176232">
              <w:rPr>
                <w:color w:val="auto"/>
              </w:rPr>
              <w:t xml:space="preserve"> (КЕП) на </w:t>
            </w:r>
            <w:proofErr w:type="spellStart"/>
            <w:r w:rsidRPr="00176232">
              <w:rPr>
                <w:color w:val="auto"/>
              </w:rPr>
              <w:t>пропозицію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або</w:t>
            </w:r>
            <w:proofErr w:type="spellEnd"/>
            <w:r w:rsidRPr="00176232">
              <w:rPr>
                <w:color w:val="auto"/>
              </w:rPr>
              <w:t xml:space="preserve"> на </w:t>
            </w:r>
            <w:proofErr w:type="spellStart"/>
            <w:r w:rsidRPr="00176232">
              <w:rPr>
                <w:color w:val="auto"/>
              </w:rPr>
              <w:t>кожен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електронний</w:t>
            </w:r>
            <w:proofErr w:type="spellEnd"/>
            <w:r w:rsidRPr="00176232">
              <w:rPr>
                <w:color w:val="auto"/>
              </w:rPr>
              <w:t xml:space="preserve"> документ </w:t>
            </w:r>
            <w:proofErr w:type="spellStart"/>
            <w:r w:rsidRPr="00176232">
              <w:rPr>
                <w:color w:val="auto"/>
              </w:rPr>
              <w:t>пропозиції</w:t>
            </w:r>
            <w:proofErr w:type="spellEnd"/>
            <w:r w:rsidRPr="00176232">
              <w:rPr>
                <w:color w:val="auto"/>
              </w:rPr>
              <w:t xml:space="preserve"> </w:t>
            </w:r>
            <w:proofErr w:type="spellStart"/>
            <w:r w:rsidRPr="00176232">
              <w:rPr>
                <w:color w:val="auto"/>
              </w:rPr>
              <w:t>окремо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9D6E2F" w:rsidRPr="007F2CDF" w:rsidRDefault="009D6E2F" w:rsidP="009D6E2F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F2CDF">
              <w:rPr>
                <w:color w:val="auto"/>
                <w:lang w:val="uk-UA"/>
              </w:rPr>
              <w:t>Переможець сплачує всі витрати, пов’язані з пересилкою документів (договір,  накладні та ін.).</w:t>
            </w:r>
          </w:p>
          <w:p w:rsidR="009D6E2F" w:rsidRPr="00861361" w:rsidRDefault="009D6E2F" w:rsidP="009D6E2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lastRenderedPageBreak/>
              <w:t>Договір про закупівлю укладається згідно з вимогами статті 41 Закону «Про публічні закупівлі</w:t>
            </w:r>
            <w:r w:rsidRPr="00830F95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Закону </w:t>
            </w:r>
            <w:r w:rsidRPr="00A80B38">
              <w:rPr>
                <w:lang w:val="uk-UA"/>
              </w:rPr>
              <w:t xml:space="preserve">України  «Про  ринок електричної  енергії»,  Правил  роздрібного  ринку  електричної  енергії,  затверджених  постановою </w:t>
            </w:r>
            <w:proofErr w:type="spellStart"/>
            <w:r w:rsidRPr="00CA63A9">
              <w:t>Національної</w:t>
            </w:r>
            <w:proofErr w:type="spellEnd"/>
            <w:r w:rsidRPr="00CA63A9">
              <w:t xml:space="preserve">  </w:t>
            </w:r>
            <w:proofErr w:type="spellStart"/>
            <w:r w:rsidRPr="00CA63A9">
              <w:t>комісії</w:t>
            </w:r>
            <w:proofErr w:type="spellEnd"/>
            <w:r w:rsidRPr="00CA63A9">
              <w:t xml:space="preserve">,  </w:t>
            </w:r>
            <w:proofErr w:type="spellStart"/>
            <w:r w:rsidRPr="00CA63A9">
              <w:t>що</w:t>
            </w:r>
            <w:proofErr w:type="spellEnd"/>
            <w:r w:rsidRPr="00CA63A9">
              <w:t xml:space="preserve">  </w:t>
            </w:r>
            <w:proofErr w:type="spellStart"/>
            <w:r w:rsidRPr="00CA63A9">
              <w:t>здійснює</w:t>
            </w:r>
            <w:proofErr w:type="spellEnd"/>
            <w:r w:rsidRPr="00CA63A9">
              <w:t xml:space="preserve">  </w:t>
            </w:r>
            <w:proofErr w:type="spellStart"/>
            <w:r w:rsidRPr="00CA63A9">
              <w:t>державне</w:t>
            </w:r>
            <w:proofErr w:type="spellEnd"/>
            <w:r w:rsidRPr="00CA63A9">
              <w:t xml:space="preserve">  </w:t>
            </w:r>
            <w:proofErr w:type="spellStart"/>
            <w:r w:rsidRPr="00CA63A9">
              <w:t>регулювання</w:t>
            </w:r>
            <w:proofErr w:type="spellEnd"/>
            <w:r w:rsidRPr="00CA63A9">
              <w:t xml:space="preserve">  у  сферах  </w:t>
            </w:r>
            <w:proofErr w:type="spellStart"/>
            <w:r w:rsidRPr="00CA63A9">
              <w:t>ене</w:t>
            </w:r>
            <w:r>
              <w:t>ргетики</w:t>
            </w:r>
            <w:proofErr w:type="spellEnd"/>
            <w:r>
              <w:t xml:space="preserve">  та 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 w:rsidRPr="00830F95">
              <w:rPr>
                <w:lang w:val="uk-UA"/>
              </w:rPr>
              <w:t>.</w:t>
            </w:r>
          </w:p>
          <w:p w:rsidR="009D6E2F" w:rsidRDefault="009D6E2F" w:rsidP="009D6E2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61361">
              <w:rPr>
                <w:i/>
                <w:color w:val="000000"/>
                <w:sz w:val="24"/>
                <w:szCs w:val="24"/>
                <w:lang w:val="uk-UA"/>
              </w:rPr>
              <w:t>Учасник у складі пропозиції також подає</w:t>
            </w:r>
            <w:r>
              <w:rPr>
                <w:color w:val="000000"/>
                <w:sz w:val="24"/>
                <w:szCs w:val="24"/>
                <w:lang w:val="uk-UA"/>
              </w:rPr>
              <w:t>:</w:t>
            </w:r>
            <w:r w:rsidRPr="00331D5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D6E2F" w:rsidRPr="00331D55" w:rsidRDefault="009D6E2F" w:rsidP="009D6E2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  <w:r w:rsidRPr="00331D55">
              <w:rPr>
                <w:color w:val="000000"/>
                <w:sz w:val="24"/>
                <w:szCs w:val="24"/>
                <w:lang w:val="uk-UA"/>
              </w:rPr>
              <w:t>Довідк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331D55">
              <w:rPr>
                <w:color w:val="000000"/>
                <w:sz w:val="24"/>
                <w:szCs w:val="24"/>
                <w:lang w:val="uk-UA"/>
              </w:rPr>
              <w:t xml:space="preserve"> в довільній формі, з інформацією про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повне</w:t>
            </w:r>
            <w:r w:rsidRPr="00331D55">
              <w:rPr>
                <w:color w:val="000000"/>
                <w:sz w:val="24"/>
                <w:szCs w:val="24"/>
                <w:lang w:val="uk-UA"/>
              </w:rPr>
              <w:t xml:space="preserve"> виконання  аналогічних за предметом закупівлі договорів  (не менше двох договорів)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9D6E2F" w:rsidRPr="00331D55" w:rsidRDefault="009D6E2F" w:rsidP="009D6E2F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t xml:space="preserve"> </w:t>
            </w:r>
            <w:r w:rsidRPr="00FE3FD8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Аналогічним договором за предметом закупівлі є договір, за яким учасник  постачав  електричну  енергію  незалежно  від  того,  чи  включались послуги з передачі та/або розподіл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9D6E2F" w:rsidRPr="00331D55" w:rsidRDefault="009D6E2F" w:rsidP="009D6E2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1.1</w:t>
            </w:r>
            <w:r w:rsidRPr="00331D55">
              <w:rPr>
                <w:color w:val="000000"/>
                <w:sz w:val="24"/>
                <w:szCs w:val="24"/>
                <w:lang w:val="uk-UA"/>
              </w:rPr>
              <w:t>. На підтвердження досвіду виконання аналогічних за предметом закупівлі договорів Учасник має надати:</w:t>
            </w:r>
          </w:p>
          <w:p w:rsidR="009D6E2F" w:rsidRPr="00331D55" w:rsidRDefault="009D6E2F" w:rsidP="009D6E2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31D55">
              <w:rPr>
                <w:color w:val="000000"/>
                <w:sz w:val="24"/>
                <w:szCs w:val="24"/>
                <w:lang w:val="uk-UA"/>
              </w:rPr>
              <w:t>-   не менше 2-х копій договору, зазначеного у довідці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331D55">
              <w:rPr>
                <w:color w:val="000000"/>
                <w:sz w:val="24"/>
                <w:szCs w:val="24"/>
                <w:lang w:val="uk-UA"/>
              </w:rPr>
              <w:t xml:space="preserve"> у повному обсязі (з усіма укладеними додатковими угодами, додатками та специфікаціями до договору), </w:t>
            </w:r>
          </w:p>
          <w:p w:rsidR="009D6E2F" w:rsidRDefault="009D6E2F" w:rsidP="009D6E2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31D55">
              <w:rPr>
                <w:color w:val="000000"/>
                <w:sz w:val="24"/>
                <w:szCs w:val="24"/>
                <w:lang w:val="uk-UA"/>
              </w:rPr>
              <w:t>- лист-відгук про якісне постачання товару до кожного до</w:t>
            </w:r>
            <w:r>
              <w:rPr>
                <w:color w:val="000000"/>
                <w:sz w:val="24"/>
                <w:szCs w:val="24"/>
                <w:lang w:val="uk-UA"/>
              </w:rPr>
              <w:t>говору, що зазначений в довідці.</w:t>
            </w:r>
          </w:p>
          <w:p w:rsidR="009D6E2F" w:rsidRPr="00830F95" w:rsidRDefault="009D6E2F" w:rsidP="009D6E2F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830F95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9D6E2F" w:rsidRPr="00830F95" w:rsidRDefault="009D6E2F" w:rsidP="009D6E2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830F9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9D6E2F" w:rsidRDefault="009D6E2F" w:rsidP="009D6E2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830F95">
              <w:rPr>
                <w:rFonts w:eastAsia="Calibri"/>
                <w:lang w:val="uk-UA"/>
              </w:rPr>
              <w:t xml:space="preserve">2. </w:t>
            </w:r>
            <w:r w:rsidRPr="00830F95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9D6E2F" w:rsidRPr="00830F95" w:rsidRDefault="009D6E2F" w:rsidP="009D6E2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15530">
              <w:rPr>
                <w:lang w:val="uk-UA"/>
              </w:rPr>
              <w:t xml:space="preserve">Переможець повинен підписати 2 примірники договору у строки, визначені </w:t>
            </w:r>
            <w:r>
              <w:rPr>
                <w:lang w:val="uk-UA"/>
              </w:rPr>
              <w:t>Законом України «Про публічні закупівлі» (</w:t>
            </w:r>
            <w:r>
              <w:rPr>
                <w:rStyle w:val="rvts0"/>
              </w:rPr>
              <w:t xml:space="preserve">не </w:t>
            </w:r>
            <w:proofErr w:type="spellStart"/>
            <w:r>
              <w:rPr>
                <w:rStyle w:val="rvts0"/>
              </w:rPr>
              <w:t>пізніше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ніж</w:t>
            </w:r>
            <w:proofErr w:type="spellEnd"/>
            <w:r>
              <w:rPr>
                <w:rStyle w:val="rvts0"/>
              </w:rPr>
              <w:t xml:space="preserve"> через 20 </w:t>
            </w:r>
            <w:proofErr w:type="spellStart"/>
            <w:r>
              <w:rPr>
                <w:rStyle w:val="rvts0"/>
              </w:rPr>
              <w:t>днів</w:t>
            </w:r>
            <w:proofErr w:type="spellEnd"/>
            <w:r>
              <w:rPr>
                <w:rStyle w:val="rvts0"/>
              </w:rPr>
              <w:t xml:space="preserve"> з дня </w:t>
            </w:r>
            <w:proofErr w:type="spellStart"/>
            <w:r>
              <w:rPr>
                <w:rStyle w:val="rvts0"/>
              </w:rPr>
              <w:t>прийняття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рішення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намір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укласти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договір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закупівлю</w:t>
            </w:r>
            <w:proofErr w:type="spellEnd"/>
            <w:r>
              <w:rPr>
                <w:lang w:val="uk-UA"/>
              </w:rPr>
              <w:t>)</w:t>
            </w:r>
            <w:r w:rsidRPr="00D15530">
              <w:rPr>
                <w:lang w:val="uk-UA"/>
              </w:rPr>
              <w:t xml:space="preserve"> та у день підписання передати замовнику один примірник договору. </w:t>
            </w:r>
            <w:proofErr w:type="spellStart"/>
            <w:r w:rsidRPr="00D15530">
              <w:rPr>
                <w:lang w:val="uk-UA"/>
              </w:rPr>
              <w:t>Непідписання</w:t>
            </w:r>
            <w:proofErr w:type="spellEnd"/>
            <w:r w:rsidRPr="00D15530">
              <w:rPr>
                <w:lang w:val="uk-UA"/>
              </w:rPr>
              <w:t xml:space="preserve"> переможцем договору та/або не передання одного примірника цього договору у вказаний строк буде </w:t>
            </w:r>
            <w:proofErr w:type="spellStart"/>
            <w:r w:rsidRPr="00D15530">
              <w:rPr>
                <w:lang w:val="uk-UA"/>
              </w:rPr>
              <w:t>розцінено</w:t>
            </w:r>
            <w:proofErr w:type="spellEnd"/>
            <w:r w:rsidRPr="00D15530">
              <w:rPr>
                <w:lang w:val="uk-UA"/>
              </w:rPr>
              <w:t xml:space="preserve"> як відмова переможця від укладення договору про закупівлю</w:t>
            </w:r>
            <w:r>
              <w:rPr>
                <w:lang w:val="uk-UA"/>
              </w:rPr>
              <w:t>.</w:t>
            </w:r>
          </w:p>
        </w:tc>
      </w:tr>
    </w:tbl>
    <w:p w:rsidR="009D6E2F" w:rsidRPr="00BE467F" w:rsidRDefault="009D6E2F" w:rsidP="009D6E2F">
      <w:pPr>
        <w:pStyle w:val="Standard"/>
        <w:rPr>
          <w:lang w:val="uk-UA"/>
        </w:rPr>
      </w:pPr>
      <w:r w:rsidRPr="00830F95">
        <w:rPr>
          <w:b/>
          <w:color w:val="auto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lang w:val="uk-UA"/>
        </w:rPr>
        <w:t xml:space="preserve">                 </w:t>
      </w:r>
    </w:p>
    <w:p w:rsidR="009D6E2F" w:rsidRPr="00861361" w:rsidRDefault="009D6E2F" w:rsidP="009D6E2F">
      <w:pPr>
        <w:rPr>
          <w:lang w:val="uk-UA"/>
        </w:rPr>
      </w:pPr>
    </w:p>
    <w:p w:rsidR="009D6E2F" w:rsidRPr="008F61A1" w:rsidRDefault="009D6E2F" w:rsidP="009D6E2F">
      <w:pPr>
        <w:rPr>
          <w:lang w:val="uk-UA"/>
        </w:rPr>
      </w:pPr>
    </w:p>
    <w:p w:rsidR="009D6E2F" w:rsidRPr="00EB66E7" w:rsidRDefault="009D6E2F" w:rsidP="009D6E2F">
      <w:pPr>
        <w:rPr>
          <w:lang w:val="uk-UA"/>
        </w:rPr>
      </w:pPr>
    </w:p>
    <w:p w:rsidR="009D6E2F" w:rsidRPr="00FC72E4" w:rsidRDefault="009D6E2F" w:rsidP="009D6E2F">
      <w:pPr>
        <w:rPr>
          <w:lang w:val="uk-UA"/>
        </w:rPr>
      </w:pPr>
    </w:p>
    <w:p w:rsidR="009D6E2F" w:rsidRPr="005A485B" w:rsidRDefault="009D6E2F" w:rsidP="009D6E2F">
      <w:pPr>
        <w:rPr>
          <w:lang w:val="uk-UA"/>
        </w:rPr>
      </w:pPr>
    </w:p>
    <w:p w:rsidR="009D6E2F" w:rsidRPr="00B274C6" w:rsidRDefault="009D6E2F" w:rsidP="009D6E2F">
      <w:pPr>
        <w:rPr>
          <w:lang w:val="uk-UA"/>
        </w:rPr>
      </w:pPr>
    </w:p>
    <w:p w:rsidR="009D6E2F" w:rsidRPr="00422C16" w:rsidRDefault="009D6E2F" w:rsidP="009D6E2F">
      <w:pPr>
        <w:rPr>
          <w:lang w:val="uk-UA"/>
        </w:rPr>
      </w:pPr>
    </w:p>
    <w:p w:rsidR="009D6E2F" w:rsidRPr="00BE50A0" w:rsidRDefault="009D6E2F" w:rsidP="009D6E2F">
      <w:pPr>
        <w:rPr>
          <w:lang w:val="uk-UA"/>
        </w:rPr>
      </w:pPr>
    </w:p>
    <w:p w:rsidR="009D6E2F" w:rsidRPr="005103EC" w:rsidRDefault="009D6E2F" w:rsidP="009D6E2F">
      <w:pPr>
        <w:rPr>
          <w:lang w:val="uk-UA"/>
        </w:rPr>
      </w:pPr>
    </w:p>
    <w:p w:rsidR="009D6E2F" w:rsidRPr="00680751" w:rsidRDefault="009D6E2F" w:rsidP="009D6E2F">
      <w:pPr>
        <w:rPr>
          <w:lang w:val="uk-UA"/>
        </w:rPr>
      </w:pPr>
    </w:p>
    <w:p w:rsidR="009D6E2F" w:rsidRPr="008B163C" w:rsidRDefault="009D6E2F" w:rsidP="009D6E2F">
      <w:pPr>
        <w:rPr>
          <w:lang w:val="uk-UA"/>
        </w:rPr>
      </w:pPr>
    </w:p>
    <w:p w:rsidR="009D6E2F" w:rsidRPr="0039245F" w:rsidRDefault="009D6E2F" w:rsidP="009D6E2F">
      <w:pPr>
        <w:rPr>
          <w:lang w:val="uk-UA"/>
        </w:rPr>
      </w:pPr>
    </w:p>
    <w:p w:rsidR="00954C63" w:rsidRPr="009D6E2F" w:rsidRDefault="00954C63">
      <w:pPr>
        <w:rPr>
          <w:lang w:val="uk-UA"/>
        </w:rPr>
      </w:pPr>
    </w:p>
    <w:sectPr w:rsidR="00954C63" w:rsidRPr="009D6E2F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2F"/>
    <w:rsid w:val="000E245B"/>
    <w:rsid w:val="001538E9"/>
    <w:rsid w:val="00160660"/>
    <w:rsid w:val="00437202"/>
    <w:rsid w:val="00621F60"/>
    <w:rsid w:val="007323C4"/>
    <w:rsid w:val="00751764"/>
    <w:rsid w:val="00954C63"/>
    <w:rsid w:val="009751BA"/>
    <w:rsid w:val="009D6E2F"/>
    <w:rsid w:val="00D667ED"/>
    <w:rsid w:val="00DD614E"/>
    <w:rsid w:val="00E71054"/>
    <w:rsid w:val="00FB1047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DCB1"/>
  <w15:docId w15:val="{1D43AB74-8768-4A02-8922-2CE1E3DC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6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6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E2F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9D6E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9D6E2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9D6E2F"/>
  </w:style>
  <w:style w:type="paragraph" w:customStyle="1" w:styleId="21">
    <w:name w:val="Основной текст с отступом 21"/>
    <w:basedOn w:val="a"/>
    <w:qFormat/>
    <w:rsid w:val="009D6E2F"/>
    <w:pPr>
      <w:widowControl/>
      <w:autoSpaceDN/>
      <w:spacing w:after="120" w:line="480" w:lineRule="auto"/>
      <w:ind w:left="283"/>
      <w:textAlignment w:val="auto"/>
    </w:pPr>
    <w:rPr>
      <w:rFonts w:ascii="Calibri" w:hAnsi="Calibri"/>
      <w:kern w:val="0"/>
      <w:sz w:val="22"/>
      <w:szCs w:val="22"/>
      <w:lang w:eastAsia="zh-CN"/>
    </w:rPr>
  </w:style>
  <w:style w:type="paragraph" w:styleId="a3">
    <w:name w:val="Normal (Web)"/>
    <w:basedOn w:val="a"/>
    <w:uiPriority w:val="99"/>
    <w:unhideWhenUsed/>
    <w:rsid w:val="009D6E2F"/>
    <w:pPr>
      <w:widowControl/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Standard"/>
    <w:next w:val="a"/>
    <w:rsid w:val="000E24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5385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13</cp:revision>
  <dcterms:created xsi:type="dcterms:W3CDTF">2021-11-16T21:31:00Z</dcterms:created>
  <dcterms:modified xsi:type="dcterms:W3CDTF">2022-09-23T14:05:00Z</dcterms:modified>
</cp:coreProperties>
</file>