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747E1B" w:rsidRPr="00747E1B"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 xml:space="preserve">«Вентиляційне обладнання» </w:t>
      </w:r>
    </w:p>
    <w:p w:rsidR="00536ADF" w:rsidRPr="00DA1D1E"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ДК 021:2015 - 42520000-7 - Вентиляційне обладнання</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2B1381">
            <w:pPr>
              <w:jc w:val="center"/>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тел./факс: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e-mail: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360557">
        <w:trPr>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747E1B" w:rsidRPr="00747E1B" w:rsidRDefault="00747E1B" w:rsidP="00747E1B">
            <w:pPr>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 xml:space="preserve">«Вентиляційне обладнання» </w:t>
            </w:r>
          </w:p>
          <w:p w:rsidR="00C01BAC" w:rsidRPr="004127CE" w:rsidRDefault="00747E1B" w:rsidP="00747E1B">
            <w:pPr>
              <w:jc w:val="center"/>
              <w:rPr>
                <w:rFonts w:ascii="Times New Roman" w:eastAsia="Times New Roman" w:hAnsi="Times New Roman" w:cs="Times New Roman"/>
                <w:b/>
                <w:i/>
                <w:color w:val="000000" w:themeColor="text1"/>
                <w:sz w:val="24"/>
                <w:szCs w:val="24"/>
              </w:rPr>
            </w:pPr>
            <w:r w:rsidRPr="00747E1B">
              <w:rPr>
                <w:rFonts w:ascii="Times New Roman" w:eastAsia="Times New Roman" w:hAnsi="Times New Roman" w:cs="Times New Roman"/>
                <w:b/>
                <w:color w:val="000000"/>
                <w:sz w:val="24"/>
                <w:szCs w:val="24"/>
              </w:rPr>
              <w:t>ДК 021:2015 - 42520000-7 - Вентиляційне обладнання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747E1B" w:rsidP="00747E1B">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C01BAC" w:rsidRPr="00747E1B" w:rsidRDefault="001F5DCE" w:rsidP="00747E1B">
            <w:pPr>
              <w:widowControl w:val="0"/>
              <w:ind w:right="120"/>
              <w:jc w:val="both"/>
              <w:rPr>
                <w:rFonts w:ascii="Times New Roman" w:eastAsia="Times New Roman" w:hAnsi="Times New Roman" w:cs="Times New Roman"/>
                <w:i/>
                <w:color w:val="000000" w:themeColor="text1"/>
                <w:sz w:val="28"/>
                <w:szCs w:val="28"/>
              </w:rPr>
            </w:pPr>
            <w:r w:rsidRPr="004127CE">
              <w:rPr>
                <w:rFonts w:ascii="Times New Roman" w:eastAsia="Times New Roman" w:hAnsi="Times New Roman" w:cs="Times New Roman"/>
                <w:color w:val="000000" w:themeColor="text1"/>
                <w:sz w:val="24"/>
                <w:szCs w:val="24"/>
              </w:rPr>
              <w:t xml:space="preserve">Кількість: </w:t>
            </w:r>
            <w:r w:rsidR="002862A8" w:rsidRPr="004127CE">
              <w:rPr>
                <w:rFonts w:ascii="Times New Roman" w:eastAsia="Times New Roman" w:hAnsi="Times New Roman" w:cs="Times New Roman"/>
                <w:color w:val="000000" w:themeColor="text1"/>
                <w:sz w:val="24"/>
                <w:szCs w:val="24"/>
              </w:rPr>
              <w:t>відповідно Додатку 2 до тендерної документації</w:t>
            </w:r>
            <w:r w:rsidRPr="004127CE">
              <w:rPr>
                <w:rFonts w:ascii="Times New Roman" w:eastAsia="Times New Roman" w:hAnsi="Times New Roman" w:cs="Times New Roman"/>
                <w:b/>
                <w:i/>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bookmarkStart w:id="1" w:name="_GoBack"/>
            <w:bookmarkEnd w:id="1"/>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C01BAC" w:rsidRPr="004127CE" w:rsidRDefault="00527166" w:rsidP="0052716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поставки Товару: </w:t>
            </w:r>
            <w:r>
              <w:rPr>
                <w:rFonts w:ascii="Times New Roman" w:eastAsia="Times New Roman" w:hAnsi="Times New Roman" w:cs="Times New Roman"/>
                <w:color w:val="000000" w:themeColor="text1"/>
                <w:sz w:val="24"/>
                <w:szCs w:val="24"/>
              </w:rPr>
              <w:t>до 30.04.2024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«м.київ» замість «м.Київ»;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-ок» замість «поря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«ненадається»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При поданні тендерної пропозиції Учасник підтверджує (Довідка за зразком),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(у зв’язку із застосуванням  оперативно-господарських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оперативно-господарські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системою закупівель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Проєкт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78" w:rsidRDefault="007C5D78">
      <w:pPr>
        <w:spacing w:after="0" w:line="240" w:lineRule="auto"/>
      </w:pPr>
      <w:r>
        <w:separator/>
      </w:r>
    </w:p>
  </w:endnote>
  <w:endnote w:type="continuationSeparator" w:id="0">
    <w:p w:rsidR="007C5D78" w:rsidRDefault="007C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7E1B">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78" w:rsidRDefault="007C5D78">
      <w:pPr>
        <w:spacing w:after="0" w:line="240" w:lineRule="auto"/>
      </w:pPr>
      <w:r>
        <w:separator/>
      </w:r>
    </w:p>
  </w:footnote>
  <w:footnote w:type="continuationSeparator" w:id="0">
    <w:p w:rsidR="007C5D78" w:rsidRDefault="007C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74925"/>
    <w:rsid w:val="00190089"/>
    <w:rsid w:val="001A5F60"/>
    <w:rsid w:val="001C650F"/>
    <w:rsid w:val="001C68DF"/>
    <w:rsid w:val="001E0280"/>
    <w:rsid w:val="001F5DCE"/>
    <w:rsid w:val="002159C1"/>
    <w:rsid w:val="00217E1F"/>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47E1B"/>
    <w:rsid w:val="007C0FA3"/>
    <w:rsid w:val="007C5D78"/>
    <w:rsid w:val="007E7306"/>
    <w:rsid w:val="00821481"/>
    <w:rsid w:val="008C55B8"/>
    <w:rsid w:val="008C7CD7"/>
    <w:rsid w:val="008D3715"/>
    <w:rsid w:val="008E3594"/>
    <w:rsid w:val="008F40BF"/>
    <w:rsid w:val="009404A1"/>
    <w:rsid w:val="00976E79"/>
    <w:rsid w:val="0099633E"/>
    <w:rsid w:val="009E5BD4"/>
    <w:rsid w:val="00A04E23"/>
    <w:rsid w:val="00A148B1"/>
    <w:rsid w:val="00A21C48"/>
    <w:rsid w:val="00A44C96"/>
    <w:rsid w:val="00A5021D"/>
    <w:rsid w:val="00A5402C"/>
    <w:rsid w:val="00A62BC2"/>
    <w:rsid w:val="00A71A89"/>
    <w:rsid w:val="00AB7C84"/>
    <w:rsid w:val="00AC5915"/>
    <w:rsid w:val="00AD3B7C"/>
    <w:rsid w:val="00AD3ED8"/>
    <w:rsid w:val="00B561CF"/>
    <w:rsid w:val="00BA4484"/>
    <w:rsid w:val="00BE3EBC"/>
    <w:rsid w:val="00C01BAC"/>
    <w:rsid w:val="00C077C9"/>
    <w:rsid w:val="00C104C2"/>
    <w:rsid w:val="00C32DE7"/>
    <w:rsid w:val="00C477E9"/>
    <w:rsid w:val="00C92785"/>
    <w:rsid w:val="00C947F2"/>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EAAA"/>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34591</Words>
  <Characters>19718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2024-03-20T09:37:00Z</cp:lastPrinted>
  <dcterms:created xsi:type="dcterms:W3CDTF">2024-03-20T09:42:00Z</dcterms:created>
  <dcterms:modified xsi:type="dcterms:W3CDTF">2024-03-20T09:42:00Z</dcterms:modified>
</cp:coreProperties>
</file>