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B63E87"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F66626"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70E394B" w:rsidR="00A04952" w:rsidRPr="000305F8" w:rsidRDefault="004D4FFE" w:rsidP="00A0495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594EC495"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4D4FFE">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3367DF18" w14:textId="451A0B0A" w:rsidR="00E35841" w:rsidRPr="00F66626" w:rsidRDefault="00573879" w:rsidP="00E35841">
            <w:pPr>
              <w:pStyle w:val="11"/>
              <w:spacing w:line="240" w:lineRule="auto"/>
              <w:jc w:val="both"/>
              <w:rPr>
                <w:rStyle w:val="13"/>
                <w:color w:val="000000"/>
              </w:rPr>
            </w:pPr>
            <w:r>
              <w:rPr>
                <w:color w:val="000000"/>
                <w:lang w:val="uk-UA"/>
              </w:rPr>
              <w:t xml:space="preserve">- </w:t>
            </w:r>
            <w:r w:rsidRPr="00B63E87">
              <w:rPr>
                <w:color w:val="000000"/>
                <w:sz w:val="24"/>
                <w:szCs w:val="24"/>
                <w:lang w:val="uk-UA"/>
              </w:rPr>
              <w:t>специфікацію</w:t>
            </w:r>
            <w:r w:rsidR="00B63E87" w:rsidRPr="00B63E87">
              <w:rPr>
                <w:color w:val="000000"/>
                <w:sz w:val="24"/>
                <w:szCs w:val="24"/>
                <w:lang w:val="uk-UA"/>
              </w:rPr>
              <w:t xml:space="preserve"> </w:t>
            </w:r>
            <w:r w:rsidRPr="00B63E87">
              <w:rPr>
                <w:color w:val="000000"/>
                <w:sz w:val="24"/>
                <w:szCs w:val="24"/>
                <w:lang w:val="uk-UA"/>
              </w:rPr>
              <w:t>та технічні</w:t>
            </w:r>
            <w:r w:rsidRPr="00573879">
              <w:rPr>
                <w:color w:val="000000"/>
                <w:sz w:val="24"/>
                <w:szCs w:val="24"/>
              </w:rPr>
              <w:t xml:space="preserve"> характеристики </w:t>
            </w:r>
            <w:r w:rsidR="00B63E87">
              <w:rPr>
                <w:color w:val="000000"/>
                <w:sz w:val="24"/>
                <w:szCs w:val="24"/>
                <w:lang w:val="uk-UA"/>
              </w:rPr>
              <w:t>покажчиків та вивісок</w:t>
            </w:r>
            <w:r w:rsidRPr="00573879">
              <w:rPr>
                <w:color w:val="000000"/>
              </w:rPr>
              <w:t>.</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03CF6205" w14:textId="77777777" w:rsidR="00A04952" w:rsidRPr="00734642" w:rsidRDefault="00A04952" w:rsidP="00A04952">
      <w:pPr>
        <w:pStyle w:val="11"/>
        <w:spacing w:line="240" w:lineRule="auto"/>
        <w:jc w:val="right"/>
        <w:rPr>
          <w:rStyle w:val="13"/>
          <w:sz w:val="24"/>
          <w:lang w:val="uk-UA"/>
        </w:rPr>
      </w:pPr>
    </w:p>
    <w:p w14:paraId="45F015FC" w14:textId="5641FF4F"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4D4FFE">
        <w:rPr>
          <w:rStyle w:val="13"/>
          <w:sz w:val="24"/>
          <w:lang w:val="uk-UA"/>
        </w:rPr>
        <w:t>1</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9526" w:type="dxa"/>
        <w:tblInd w:w="108" w:type="dxa"/>
        <w:tblLayout w:type="fixed"/>
        <w:tblLook w:val="0000" w:firstRow="0" w:lastRow="0" w:firstColumn="0" w:lastColumn="0" w:noHBand="0" w:noVBand="0"/>
      </w:tblPr>
      <w:tblGrid>
        <w:gridCol w:w="567"/>
        <w:gridCol w:w="2694"/>
        <w:gridCol w:w="2013"/>
        <w:gridCol w:w="1685"/>
        <w:gridCol w:w="2567"/>
      </w:tblGrid>
      <w:tr w:rsidR="00A04952" w:rsidRPr="00A04952" w14:paraId="018E9081" w14:textId="77777777" w:rsidTr="007B5E7C">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5655C4A3" w14:textId="35E17219" w:rsidR="00A04952" w:rsidRPr="00A04952" w:rsidRDefault="00A04952" w:rsidP="0010372C">
            <w:pPr>
              <w:pStyle w:val="11"/>
              <w:spacing w:line="240" w:lineRule="auto"/>
              <w:rPr>
                <w:rStyle w:val="13"/>
                <w:sz w:val="24"/>
                <w:lang w:val="uk-UA"/>
              </w:rPr>
            </w:pPr>
            <w:r w:rsidRPr="00A04952">
              <w:rPr>
                <w:rStyle w:val="13"/>
                <w:sz w:val="24"/>
                <w:lang w:val="uk-UA"/>
              </w:rPr>
              <w:t>Предмет виконаного договору</w:t>
            </w:r>
            <w:r w:rsidR="0010372C">
              <w:rPr>
                <w:rStyle w:val="13"/>
                <w:sz w:val="24"/>
                <w:lang w:val="uk-UA"/>
              </w:rPr>
              <w:t>,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3C76134E" w:rsidR="00A04952" w:rsidRPr="00A04952" w:rsidRDefault="00A04952" w:rsidP="00A04952">
            <w:pPr>
              <w:pStyle w:val="11"/>
              <w:spacing w:line="240" w:lineRule="auto"/>
              <w:rPr>
                <w:rStyle w:val="13"/>
                <w:sz w:val="24"/>
                <w:lang w:val="uk-UA"/>
              </w:rPr>
            </w:pPr>
            <w:r w:rsidRPr="00A04952">
              <w:rPr>
                <w:rStyle w:val="13"/>
                <w:sz w:val="24"/>
                <w:lang w:val="uk-UA"/>
              </w:rPr>
              <w:t xml:space="preserve">Обсяг </w:t>
            </w:r>
            <w:r w:rsidR="0010372C">
              <w:rPr>
                <w:rStyle w:val="13"/>
                <w:sz w:val="24"/>
                <w:lang w:val="uk-UA"/>
              </w:rPr>
              <w:t>наданого товару,</w:t>
            </w:r>
            <w:r w:rsidRPr="00A04952">
              <w:rPr>
                <w:rStyle w:val="13"/>
                <w:sz w:val="24"/>
                <w:lang w:val="uk-UA"/>
              </w:rPr>
              <w:t xml:space="preserve"> (</w:t>
            </w:r>
            <w:r w:rsidR="0010372C">
              <w:rPr>
                <w:rStyle w:val="13"/>
                <w:sz w:val="24"/>
                <w:lang w:val="uk-UA"/>
              </w:rPr>
              <w:t>од.</w:t>
            </w:r>
            <w:r w:rsidRPr="00A04952">
              <w:rPr>
                <w:rStyle w:val="13"/>
                <w:sz w:val="24"/>
                <w:lang w:val="uk-UA"/>
              </w:rPr>
              <w:t>)</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7B5E7C">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567"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7B5E7C">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7B5E7C">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B13F8">
        <w:rPr>
          <w:color w:val="000000" w:themeColor="text1"/>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B63E87"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202EBB45"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0305F8">
              <w:rPr>
                <w:bCs/>
                <w:color w:val="000000" w:themeColor="text1"/>
                <w:lang w:val="uk-UA"/>
              </w:rPr>
              <w:lastRenderedPageBreak/>
              <w:t>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0305F8">
              <w:rPr>
                <w:bCs/>
                <w:color w:val="000000"/>
                <w:lang w:val="uk-UA"/>
              </w:rPr>
              <w:lastRenderedPageBreak/>
              <w:t>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B63E87"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7C8BF27D" w14:textId="77777777" w:rsidR="004D4FFE" w:rsidRDefault="004D4FFE" w:rsidP="000305F8">
      <w:pPr>
        <w:jc w:val="center"/>
        <w:rPr>
          <w:bCs/>
          <w:color w:val="000000"/>
          <w:lang w:val="uk-UA"/>
        </w:rPr>
      </w:pPr>
    </w:p>
    <w:p w14:paraId="549F2DB7" w14:textId="77777777" w:rsidR="004D4FFE" w:rsidRDefault="004D4FFE" w:rsidP="000305F8">
      <w:pPr>
        <w:jc w:val="center"/>
        <w:rPr>
          <w:bCs/>
          <w:color w:val="000000"/>
          <w:lang w:val="uk-UA"/>
        </w:rPr>
      </w:pPr>
    </w:p>
    <w:p w14:paraId="2A392519" w14:textId="1FE2A34B"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B63E87"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lastRenderedPageBreak/>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288B11DC" w:rsidR="007B59B5" w:rsidRPr="000305F8" w:rsidRDefault="00885161" w:rsidP="00885161">
            <w:pPr>
              <w:jc w:val="both"/>
              <w:rPr>
                <w:bCs/>
                <w:color w:val="000000"/>
                <w:lang w:val="uk-UA"/>
              </w:rPr>
            </w:pPr>
            <w:r w:rsidRPr="000305F8">
              <w:rPr>
                <w:bCs/>
                <w:color w:val="00000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lastRenderedPageBreak/>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B63E87"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022D38" w14:textId="77777777" w:rsidR="000305F8" w:rsidRDefault="000305F8" w:rsidP="000305F8">
      <w:pPr>
        <w:shd w:val="clear" w:color="auto" w:fill="FFFFFF"/>
        <w:jc w:val="center"/>
        <w:rPr>
          <w:bCs/>
          <w:color w:val="000000"/>
          <w:lang w:val="uk-UA"/>
        </w:rPr>
      </w:pPr>
    </w:p>
    <w:p w14:paraId="7792C0F1" w14:textId="77777777" w:rsidR="000305F8" w:rsidRDefault="000305F8" w:rsidP="000305F8">
      <w:pPr>
        <w:shd w:val="clear" w:color="auto" w:fill="FFFFFF"/>
        <w:jc w:val="center"/>
        <w:rPr>
          <w:bCs/>
          <w:color w:val="000000"/>
          <w:lang w:val="uk-UA"/>
        </w:rPr>
      </w:pPr>
    </w:p>
    <w:p w14:paraId="1399E37C" w14:textId="77777777" w:rsidR="00C43303" w:rsidRDefault="00C43303" w:rsidP="000305F8">
      <w:pPr>
        <w:shd w:val="clear" w:color="auto" w:fill="FFFFFF"/>
        <w:jc w:val="center"/>
        <w:rPr>
          <w:bCs/>
          <w:color w:val="000000"/>
          <w:lang w:val="uk-UA"/>
        </w:rPr>
      </w:pPr>
    </w:p>
    <w:p w14:paraId="7A21EC1F" w14:textId="77777777" w:rsidR="00C43303" w:rsidRDefault="00C43303" w:rsidP="000305F8">
      <w:pPr>
        <w:shd w:val="clear" w:color="auto" w:fill="FFFFFF"/>
        <w:jc w:val="center"/>
        <w:rPr>
          <w:bCs/>
          <w:color w:val="000000"/>
          <w:lang w:val="uk-UA"/>
        </w:rPr>
      </w:pPr>
    </w:p>
    <w:p w14:paraId="113A771F" w14:textId="77777777" w:rsidR="00C43303" w:rsidRDefault="00C43303" w:rsidP="000305F8">
      <w:pPr>
        <w:shd w:val="clear" w:color="auto" w:fill="FFFFFF"/>
        <w:jc w:val="center"/>
        <w:rPr>
          <w:bCs/>
          <w:color w:val="000000"/>
          <w:lang w:val="uk-UA"/>
        </w:rPr>
      </w:pPr>
    </w:p>
    <w:p w14:paraId="7DAD3DCE" w14:textId="77777777" w:rsidR="00C43303" w:rsidRDefault="00C43303" w:rsidP="000305F8">
      <w:pPr>
        <w:shd w:val="clear" w:color="auto" w:fill="FFFFFF"/>
        <w:jc w:val="center"/>
        <w:rPr>
          <w:bCs/>
          <w:color w:val="000000"/>
          <w:lang w:val="uk-UA"/>
        </w:rPr>
      </w:pPr>
    </w:p>
    <w:p w14:paraId="131AB9E6" w14:textId="77777777" w:rsidR="00C43303" w:rsidRDefault="00C43303" w:rsidP="000305F8">
      <w:pPr>
        <w:shd w:val="clear" w:color="auto" w:fill="FFFFFF"/>
        <w:jc w:val="center"/>
        <w:rPr>
          <w:bCs/>
          <w:color w:val="000000"/>
          <w:lang w:val="uk-UA"/>
        </w:rPr>
      </w:pPr>
    </w:p>
    <w:p w14:paraId="40983CBF" w14:textId="77777777" w:rsidR="00C43303" w:rsidRDefault="00C43303" w:rsidP="000305F8">
      <w:pPr>
        <w:shd w:val="clear" w:color="auto" w:fill="FFFFFF"/>
        <w:jc w:val="center"/>
        <w:rPr>
          <w:bCs/>
          <w:color w:val="000000"/>
          <w:lang w:val="uk-UA"/>
        </w:rPr>
      </w:pPr>
    </w:p>
    <w:p w14:paraId="005FDA36" w14:textId="77777777" w:rsidR="00C43303" w:rsidRDefault="00C43303"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lastRenderedPageBreak/>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B63E87"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27FC3190" w:rsidR="00822440" w:rsidRPr="00773859" w:rsidRDefault="00822440" w:rsidP="00773859">
                  <w:pPr>
                    <w:keepLines/>
                    <w:autoSpaceDE w:val="0"/>
                    <w:autoSpaceDN w:val="0"/>
                    <w:ind w:firstLine="725"/>
                    <w:jc w:val="both"/>
                    <w:rPr>
                      <w:rStyle w:val="13"/>
                      <w:bCs/>
                      <w:color w:val="000000"/>
                      <w:lang w:val="uk-UA"/>
                    </w:rPr>
                  </w:pPr>
                  <w:r w:rsidRPr="000305F8">
                    <w:rPr>
                      <w:rStyle w:val="13"/>
                      <w:bCs/>
                      <w:lang w:val="uk-UA"/>
                    </w:rPr>
                    <w:t xml:space="preserve">Ми, (назва учасника), надаємо свою пропозицію щодо участі у відкритих торгах з особливостями на закупівлю </w:t>
                  </w:r>
                  <w:r w:rsidR="00A44449">
                    <w:rPr>
                      <w:rStyle w:val="13"/>
                      <w:bCs/>
                      <w:lang w:val="uk-UA"/>
                    </w:rPr>
                    <w:t>«</w:t>
                  </w:r>
                  <w:r w:rsidR="00791AA9">
                    <w:rPr>
                      <w:bCs/>
                      <w:color w:val="000000"/>
                      <w:lang w:val="uk-UA"/>
                    </w:rPr>
                    <w:t>Адресні вивіски</w:t>
                  </w:r>
                  <w:r w:rsidR="00773859" w:rsidRPr="00773859">
                    <w:rPr>
                      <w:bCs/>
                      <w:color w:val="000000"/>
                      <w:lang w:val="uk-UA"/>
                    </w:rPr>
                    <w:t>»</w:t>
                  </w:r>
                  <w:r w:rsidR="00773859">
                    <w:rPr>
                      <w:bCs/>
                      <w:color w:val="000000"/>
                      <w:lang w:val="uk-UA"/>
                    </w:rPr>
                    <w:t xml:space="preserve"> за кодом ДК </w:t>
                  </w:r>
                  <w:r w:rsidR="00773859" w:rsidRPr="00773859">
                    <w:rPr>
                      <w:bCs/>
                      <w:color w:val="000000"/>
                      <w:lang w:val="uk-UA"/>
                    </w:rPr>
                    <w:t xml:space="preserve">021:2015 </w:t>
                  </w:r>
                  <w:r w:rsidR="00791AA9">
                    <w:rPr>
                      <w:bCs/>
                      <w:color w:val="000000"/>
                      <w:lang w:val="uk-UA"/>
                    </w:rPr>
                    <w:t>44423460-3</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7840EE03"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w:t>
                  </w:r>
                  <w:r w:rsidR="00013CB4">
                    <w:rPr>
                      <w:rStyle w:val="13"/>
                      <w:bCs/>
                      <w:lang w:val="uk-UA"/>
                    </w:rPr>
                    <w:t>поставити</w:t>
                  </w:r>
                  <w:r w:rsidR="00822440" w:rsidRPr="000305F8">
                    <w:rPr>
                      <w:rStyle w:val="13"/>
                      <w:bCs/>
                      <w:lang w:val="uk-UA"/>
                    </w:rPr>
                    <w:t xml:space="preserve"> </w:t>
                  </w:r>
                  <w:r w:rsidR="00791AA9">
                    <w:rPr>
                      <w:rStyle w:val="13"/>
                      <w:bCs/>
                      <w:lang w:val="uk-UA"/>
                    </w:rPr>
                    <w:t>адресні вивіски (таблички та покажчики)</w:t>
                  </w:r>
                  <w:r w:rsidRPr="000305F8">
                    <w:rPr>
                      <w:bCs/>
                      <w:lang w:val="uk-UA"/>
                    </w:rPr>
                    <w:t xml:space="preserve">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21FD" w14:textId="77777777" w:rsidR="001B5076" w:rsidRDefault="001B5076">
      <w:r>
        <w:separator/>
      </w:r>
    </w:p>
  </w:endnote>
  <w:endnote w:type="continuationSeparator" w:id="0">
    <w:p w14:paraId="24C89C02" w14:textId="77777777" w:rsidR="001B5076" w:rsidRDefault="001B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261D" w14:textId="77777777" w:rsidR="001B5076" w:rsidRDefault="001B5076">
      <w:r>
        <w:separator/>
      </w:r>
    </w:p>
  </w:footnote>
  <w:footnote w:type="continuationSeparator" w:id="0">
    <w:p w14:paraId="3C411549" w14:textId="77777777" w:rsidR="001B5076" w:rsidRDefault="001B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13CB4"/>
    <w:rsid w:val="000305F8"/>
    <w:rsid w:val="00052CD4"/>
    <w:rsid w:val="000D7E82"/>
    <w:rsid w:val="000F61B9"/>
    <w:rsid w:val="0010372C"/>
    <w:rsid w:val="00106137"/>
    <w:rsid w:val="001260FB"/>
    <w:rsid w:val="00127004"/>
    <w:rsid w:val="001358C6"/>
    <w:rsid w:val="0013724B"/>
    <w:rsid w:val="00141A8D"/>
    <w:rsid w:val="00146108"/>
    <w:rsid w:val="00170FF5"/>
    <w:rsid w:val="00180179"/>
    <w:rsid w:val="001A49A3"/>
    <w:rsid w:val="001A50C3"/>
    <w:rsid w:val="001A6211"/>
    <w:rsid w:val="001B5076"/>
    <w:rsid w:val="001B76BA"/>
    <w:rsid w:val="001C5D0D"/>
    <w:rsid w:val="001E2500"/>
    <w:rsid w:val="002A6652"/>
    <w:rsid w:val="002B1B53"/>
    <w:rsid w:val="002B7F13"/>
    <w:rsid w:val="002C5A88"/>
    <w:rsid w:val="003164ED"/>
    <w:rsid w:val="003176CA"/>
    <w:rsid w:val="00332780"/>
    <w:rsid w:val="00394084"/>
    <w:rsid w:val="003C1EC3"/>
    <w:rsid w:val="003C2E26"/>
    <w:rsid w:val="00423B94"/>
    <w:rsid w:val="00463539"/>
    <w:rsid w:val="00484C9C"/>
    <w:rsid w:val="004D4FFE"/>
    <w:rsid w:val="004E68BE"/>
    <w:rsid w:val="00502D5B"/>
    <w:rsid w:val="00521E29"/>
    <w:rsid w:val="005404B6"/>
    <w:rsid w:val="00573879"/>
    <w:rsid w:val="005B15FE"/>
    <w:rsid w:val="005C1463"/>
    <w:rsid w:val="005C19FA"/>
    <w:rsid w:val="005C43E3"/>
    <w:rsid w:val="005C6C0B"/>
    <w:rsid w:val="005E1E32"/>
    <w:rsid w:val="005E2679"/>
    <w:rsid w:val="00605A5F"/>
    <w:rsid w:val="00606C5E"/>
    <w:rsid w:val="006135CF"/>
    <w:rsid w:val="006A067A"/>
    <w:rsid w:val="006B13F8"/>
    <w:rsid w:val="006C1A41"/>
    <w:rsid w:val="006C66CE"/>
    <w:rsid w:val="006F04A6"/>
    <w:rsid w:val="00702100"/>
    <w:rsid w:val="00706366"/>
    <w:rsid w:val="00721BB9"/>
    <w:rsid w:val="007302CB"/>
    <w:rsid w:val="00734642"/>
    <w:rsid w:val="007471FB"/>
    <w:rsid w:val="00750C03"/>
    <w:rsid w:val="00756388"/>
    <w:rsid w:val="00763128"/>
    <w:rsid w:val="0077060C"/>
    <w:rsid w:val="00773859"/>
    <w:rsid w:val="00773941"/>
    <w:rsid w:val="007760D0"/>
    <w:rsid w:val="00787AB9"/>
    <w:rsid w:val="00791AA9"/>
    <w:rsid w:val="007B59B5"/>
    <w:rsid w:val="007B5E7C"/>
    <w:rsid w:val="007F4982"/>
    <w:rsid w:val="00812F40"/>
    <w:rsid w:val="00822440"/>
    <w:rsid w:val="00837A0B"/>
    <w:rsid w:val="00885161"/>
    <w:rsid w:val="008A21EE"/>
    <w:rsid w:val="008C137A"/>
    <w:rsid w:val="008E3C13"/>
    <w:rsid w:val="00902930"/>
    <w:rsid w:val="00937605"/>
    <w:rsid w:val="00980829"/>
    <w:rsid w:val="00987BE4"/>
    <w:rsid w:val="00995243"/>
    <w:rsid w:val="00A04952"/>
    <w:rsid w:val="00A13C9C"/>
    <w:rsid w:val="00A30FE9"/>
    <w:rsid w:val="00A44449"/>
    <w:rsid w:val="00A6032A"/>
    <w:rsid w:val="00A730DB"/>
    <w:rsid w:val="00A837B3"/>
    <w:rsid w:val="00A83B32"/>
    <w:rsid w:val="00AB3ED7"/>
    <w:rsid w:val="00AF3F2D"/>
    <w:rsid w:val="00B04F92"/>
    <w:rsid w:val="00B1191F"/>
    <w:rsid w:val="00B2278A"/>
    <w:rsid w:val="00B63E87"/>
    <w:rsid w:val="00B65348"/>
    <w:rsid w:val="00B9714E"/>
    <w:rsid w:val="00C052E9"/>
    <w:rsid w:val="00C16DE5"/>
    <w:rsid w:val="00C21DD4"/>
    <w:rsid w:val="00C251BA"/>
    <w:rsid w:val="00C43303"/>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66626"/>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2061</Words>
  <Characters>11754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3</cp:revision>
  <cp:lastPrinted>2022-07-05T14:28:00Z</cp:lastPrinted>
  <dcterms:created xsi:type="dcterms:W3CDTF">2023-10-09T07:56:00Z</dcterms:created>
  <dcterms:modified xsi:type="dcterms:W3CDTF">2023-10-09T09:06:00Z</dcterms:modified>
</cp:coreProperties>
</file>