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7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411862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Pr="00F0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411862" w:rsidRPr="00946731" w:rsidRDefault="00411862" w:rsidP="0041186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64F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411862" w:rsidRDefault="00F064FE" w:rsidP="00F064FE">
      <w:pPr>
        <w:tabs>
          <w:tab w:val="left" w:pos="8130"/>
        </w:tabs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ab/>
      </w:r>
    </w:p>
    <w:p w:rsidR="00123DB1" w:rsidRDefault="00703461" w:rsidP="008E4D0A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ТЕХНІЧНІ ВИМОГИ</w:t>
      </w:r>
    </w:p>
    <w:p w:rsidR="00C32DF3" w:rsidRDefault="00C32DF3" w:rsidP="00C32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D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Запобіжники згідно ДК021:2015 код 31210000-1 Електрична апаратура для </w:t>
      </w:r>
      <w:proofErr w:type="spellStart"/>
      <w:r w:rsidRPr="00C32DF3">
        <w:rPr>
          <w:rFonts w:ascii="Times New Roman" w:hAnsi="Times New Roman" w:cs="Times New Roman"/>
          <w:b/>
          <w:sz w:val="24"/>
          <w:szCs w:val="24"/>
          <w:lang w:val="uk-UA"/>
        </w:rPr>
        <w:t>комутування</w:t>
      </w:r>
      <w:proofErr w:type="spellEnd"/>
      <w:r w:rsidRPr="00C32D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захисту електричних кіл</w:t>
      </w:r>
    </w:p>
    <w:p w:rsidR="00C32DF3" w:rsidRDefault="00C32DF3" w:rsidP="008E4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визначає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необхідні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виходячи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керуючись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принципами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здійснення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з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дотриманням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законодавства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E4D0A" w:rsidRP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8E4D0A" w:rsidRPr="00C34B28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C34B28" w:rsidRDefault="00C32DF3" w:rsidP="0075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Запобіжники згідно ДК021:2015 код 31210000-1 Електрична апаратура для </w:t>
            </w:r>
            <w:proofErr w:type="spellStart"/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комутування</w:t>
            </w:r>
            <w:proofErr w:type="spellEnd"/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захисту електричних кіл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C32DF3" w:rsidRDefault="00C32DF3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кодом CPV за ДК 021:2015 - 31210000-1 Електрична апаратура для </w:t>
            </w:r>
            <w:proofErr w:type="spellStart"/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комутування</w:t>
            </w:r>
            <w:proofErr w:type="spellEnd"/>
            <w:r w:rsidRPr="00C32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захисту електричних кіл</w:t>
            </w:r>
          </w:p>
        </w:tc>
      </w:tr>
      <w:tr w:rsidR="008E4D0A" w:rsidTr="00755E71">
        <w:trPr>
          <w:trHeight w:val="89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номенклатурної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код</w:t>
            </w:r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002BB" w:rsidRDefault="00C32DF3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F1C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кодом CPV за ДК 021:2015 - </w:t>
            </w:r>
            <w:r w:rsidRPr="006F1C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31211300-1 </w:t>
            </w:r>
            <w:proofErr w:type="spellStart"/>
            <w:r w:rsidRPr="006F1C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Плавкі</w:t>
            </w:r>
            <w:proofErr w:type="spellEnd"/>
            <w:r w:rsidRPr="006F1C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запобіжники</w:t>
            </w:r>
            <w:proofErr w:type="spellEnd"/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9"/>
              <w:gridCol w:w="2018"/>
              <w:gridCol w:w="849"/>
              <w:gridCol w:w="1135"/>
            </w:tblGrid>
            <w:tr w:rsidR="00C32DF3" w:rsidRPr="006F1C7D" w:rsidTr="00C32DF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DF3" w:rsidRPr="006F1C7D" w:rsidRDefault="00C32DF3" w:rsidP="00991255">
                  <w:pPr>
                    <w:spacing w:before="150" w:after="15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C32DF3" w:rsidRPr="006F1C7D" w:rsidRDefault="00C32DF3" w:rsidP="0099125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F1C7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товару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spacing w:before="150" w:after="15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Од</w:t>
                  </w:r>
                  <w:proofErr w:type="gramStart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proofErr w:type="gramEnd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им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spacing w:before="150" w:after="15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F1C7D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Кіль-кість</w:t>
                  </w:r>
                  <w:proofErr w:type="spellEnd"/>
                </w:p>
              </w:tc>
            </w:tr>
            <w:tr w:rsidR="00C32DF3" w:rsidRPr="006F1C7D" w:rsidTr="00C32DF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Запобіжник РТ22  4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/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spacing w:before="150" w:after="15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6F1C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</w:tr>
            <w:tr w:rsidR="00C32DF3" w:rsidRPr="006F1C7D" w:rsidTr="00C32DF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Запобіжник РТ22  10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/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C32DF3" w:rsidRPr="006F1C7D" w:rsidTr="00C32DF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Запобіжник РТ22  20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/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C32DF3" w:rsidRPr="006F1C7D" w:rsidTr="00C32DF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Запобіжник РТ22  25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/</w:t>
                  </w:r>
                  <w:proofErr w:type="spellStart"/>
                  <w:r w:rsidRPr="006F1C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gS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DF3" w:rsidRPr="006F1C7D" w:rsidRDefault="00C32DF3" w:rsidP="00991255">
                  <w:pPr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DF3" w:rsidRPr="006F1C7D" w:rsidRDefault="00C32DF3" w:rsidP="009912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1C7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</w:tr>
          </w:tbl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Водопровідна,1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C32DF3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A6C2B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Постачання в залежності від потреби Замовника на підставі </w:t>
            </w:r>
            <w:r w:rsidRPr="003A6C2B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письмової заявки на електронну чи поштову адресу Постачальника чи в інший спосіб, обумовлений Сторонами</w:t>
            </w:r>
            <w:r w:rsidRPr="003A6C2B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3A6C2B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 xml:space="preserve">Строк поставки </w:t>
            </w:r>
            <w:r w:rsidRPr="003A6C2B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Товару 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3 (три</w:t>
            </w:r>
            <w:r w:rsidRPr="003A6C2B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календарних</w:t>
            </w:r>
            <w:r w:rsidRPr="003A6C2B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 xml:space="preserve"> дн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і з дня отримання письмової заявки Замовника на електрону адресу.</w:t>
            </w:r>
          </w:p>
        </w:tc>
      </w:tr>
    </w:tbl>
    <w:p w:rsidR="008E4D0A" w:rsidRPr="00A1361A" w:rsidRDefault="008E4D0A" w:rsidP="008E4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38A9">
        <w:rPr>
          <w:rFonts w:ascii="Times New Roman" w:hAnsi="Times New Roman"/>
          <w:sz w:val="24"/>
          <w:szCs w:val="24"/>
        </w:rPr>
        <w:lastRenderedPageBreak/>
        <w:t>Техн</w:t>
      </w:r>
      <w:proofErr w:type="gramEnd"/>
      <w:r w:rsidRPr="00F338A9">
        <w:rPr>
          <w:rFonts w:ascii="Times New Roman" w:hAnsi="Times New Roman"/>
          <w:sz w:val="24"/>
          <w:szCs w:val="24"/>
        </w:rPr>
        <w:t>ічні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8A9">
        <w:rPr>
          <w:rFonts w:ascii="Times New Roman" w:hAnsi="Times New Roman"/>
          <w:sz w:val="24"/>
          <w:szCs w:val="24"/>
        </w:rPr>
        <w:t>якісні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338A9">
        <w:rPr>
          <w:rFonts w:ascii="Times New Roman" w:hAnsi="Times New Roman"/>
          <w:sz w:val="24"/>
          <w:szCs w:val="24"/>
        </w:rPr>
        <w:t>/</w:t>
      </w:r>
      <w:proofErr w:type="spellStart"/>
      <w:r w:rsidRPr="00F338A9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38A9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F338A9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умовам</w:t>
      </w:r>
      <w:proofErr w:type="spellEnd"/>
      <w:r w:rsidRPr="00F338A9">
        <w:rPr>
          <w:rFonts w:ascii="Times New Roman" w:hAnsi="Times New Roman"/>
          <w:sz w:val="24"/>
          <w:szCs w:val="24"/>
        </w:rPr>
        <w:t>)).</w:t>
      </w:r>
    </w:p>
    <w:p w:rsidR="008E4D0A" w:rsidRDefault="008E4D0A" w:rsidP="008E4D0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0C1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до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складену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довільні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у </w:t>
      </w:r>
      <w:proofErr w:type="spellStart"/>
      <w:r>
        <w:rPr>
          <w:rFonts w:ascii="Times New Roman" w:hAnsi="Times New Roman"/>
          <w:sz w:val="24"/>
          <w:szCs w:val="24"/>
        </w:rPr>
        <w:t>порівняльному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еквівалентного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заявлена 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зазначено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буде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>)» (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Duster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)),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відхилено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таку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D0A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441" w:rsidRDefault="006B2441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tbl>
      <w:tblPr>
        <w:tblW w:w="1060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53"/>
        <w:gridCol w:w="2040"/>
        <w:gridCol w:w="2880"/>
        <w:gridCol w:w="1006"/>
        <w:gridCol w:w="1154"/>
        <w:gridCol w:w="1351"/>
        <w:gridCol w:w="1525"/>
      </w:tblGrid>
      <w:tr w:rsidR="00797264" w:rsidTr="00991255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ічні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характеристики товару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5740C5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  <w:proofErr w:type="gramStart"/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Виробник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797264" w:rsidTr="00991255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5740C5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0C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797264" w:rsidTr="00991255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264" w:rsidRPr="00C5020C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5020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Запобіжник РТ22  4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Номінальний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струм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(A): 4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Номінальна напруга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 (В): 1500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Номінальна напруга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DC (В): 1000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Втрати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(Вт): 5,3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Інтеграл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Джоуля I2tt (плавке/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перед дугове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значения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протягом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часу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плавлення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плавкою вставки) (А2c): 7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Інтеграл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Джоуля I2tc (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відключне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часу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відключення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плавкою вставки) (А2c) AC: 55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Інтеграл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Джоуля I2tc (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відключне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часу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відключення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плавкою вставки)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(А2c) DC: 44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Часоточна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характеристика: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gS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напівпровідникових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елементів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ід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перевантаження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короткого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замикання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Вага (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): 0,096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Кольорове позначення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коричневий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Типорозмі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(мм): 22х127, 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еквівалент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5740C5" w:rsidRDefault="00797264" w:rsidP="00991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0A4520" w:rsidRDefault="00797264" w:rsidP="00991255">
            <w:pPr>
              <w:jc w:val="center"/>
              <w:rPr>
                <w:rFonts w:ascii="Arial" w:hAnsi="Arial" w:cs="Arial"/>
              </w:rPr>
            </w:pPr>
            <w:r w:rsidRPr="000A4520">
              <w:rPr>
                <w:rFonts w:ascii="Arial" w:hAnsi="Arial" w:cs="Arial"/>
              </w:rPr>
              <w:t>350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8746D4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8746D4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7264" w:rsidTr="00991255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7264" w:rsidRPr="00C5020C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C5020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Запобіжник РТ22  10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Номінальний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струм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(A): 10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 (В): 1500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DC (В): 1000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Втрати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(Вт): 3,05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Часоточна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характеристика: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gS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напівпровідникових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елементів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перевантаження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короткого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замикання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Вага (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): 0,096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Позначення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червоний</w:t>
            </w:r>
            <w:proofErr w:type="spellEnd"/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(мм): 22х127,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еквівалент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5740C5" w:rsidRDefault="00797264" w:rsidP="00991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0A4520" w:rsidRDefault="00797264" w:rsidP="00991255">
            <w:pPr>
              <w:jc w:val="center"/>
              <w:rPr>
                <w:rFonts w:ascii="Arial" w:hAnsi="Arial" w:cs="Arial"/>
              </w:rPr>
            </w:pPr>
            <w:r w:rsidRPr="000A4520">
              <w:rPr>
                <w:rFonts w:ascii="Arial" w:hAnsi="Arial" w:cs="Arial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8746D4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</w:tr>
      <w:tr w:rsidR="00797264" w:rsidRPr="00C823F6" w:rsidTr="00991255">
        <w:trPr>
          <w:trHeight w:val="128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97264" w:rsidRPr="009B5FFE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Запобіжник РТ22  20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Номінальний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струм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(A): 20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Un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AC (В): 1500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Un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DC (В): 1000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Втрати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(Вт): 5,36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Часоточна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характеристика: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gR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gS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(для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захисту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напівпровідникових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елементів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186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D1864">
              <w:rPr>
                <w:rFonts w:ascii="Times New Roman" w:hAnsi="Times New Roman"/>
                <w:sz w:val="18"/>
                <w:szCs w:val="18"/>
              </w:rPr>
              <w:t>ід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перевантаження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та короткого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замикання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r w:rsidRPr="008D1864">
              <w:rPr>
                <w:rFonts w:ascii="Times New Roman" w:hAnsi="Times New Roman"/>
                <w:sz w:val="18"/>
                <w:szCs w:val="18"/>
              </w:rPr>
              <w:t>Вага (</w:t>
            </w:r>
            <w:proofErr w:type="gramStart"/>
            <w:r w:rsidRPr="008D1864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D1864">
              <w:rPr>
                <w:rFonts w:ascii="Times New Roman" w:hAnsi="Times New Roman"/>
                <w:sz w:val="18"/>
                <w:szCs w:val="18"/>
              </w:rPr>
              <w:t>): 0,096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lastRenderedPageBreak/>
              <w:t>Позначення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кольору</w:t>
            </w:r>
            <w:proofErr w:type="spell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синій</w:t>
            </w:r>
            <w:proofErr w:type="spellEnd"/>
          </w:p>
          <w:p w:rsidR="00797264" w:rsidRPr="008D1864" w:rsidRDefault="00797264" w:rsidP="00991255">
            <w:pPr>
              <w:rPr>
                <w:rFonts w:ascii="Times New Roman" w:hAnsi="Times New Roman"/>
                <w:sz w:val="18"/>
                <w:szCs w:val="18"/>
              </w:rPr>
            </w:pPr>
            <w:r w:rsidRPr="008D18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sz w:val="18"/>
                <w:szCs w:val="18"/>
              </w:rPr>
              <w:t>розмі</w:t>
            </w:r>
            <w:proofErr w:type="gramStart"/>
            <w:r w:rsidRPr="008D18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D1864">
              <w:rPr>
                <w:rFonts w:ascii="Times New Roman" w:hAnsi="Times New Roman"/>
                <w:sz w:val="18"/>
                <w:szCs w:val="18"/>
              </w:rPr>
              <w:t xml:space="preserve"> (мм): 22х127, 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еквівалент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5740C5" w:rsidRDefault="00797264" w:rsidP="00991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0A4520" w:rsidRDefault="00797264" w:rsidP="00991255">
            <w:pPr>
              <w:jc w:val="center"/>
              <w:rPr>
                <w:rFonts w:ascii="Arial" w:hAnsi="Arial" w:cs="Arial"/>
              </w:rPr>
            </w:pPr>
            <w:r w:rsidRPr="000A4520">
              <w:rPr>
                <w:rFonts w:ascii="Arial" w:hAnsi="Arial" w:cs="Arial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C823F6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C823F6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</w:tr>
      <w:tr w:rsidR="00797264" w:rsidRPr="00C823F6" w:rsidTr="00991255">
        <w:trPr>
          <w:trHeight w:val="228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264" w:rsidRPr="009B5FFE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Запобіжник РТ22  25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Номінальний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струм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(A): 25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 (В): 1500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Номінальна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напруга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Un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DC (В): 1000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Втрати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(Вт): 6,93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Часоточна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характеристика: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gR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gS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напівпровідникових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елементів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ід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перевантаження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короткого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замикання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Вага (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): 0,096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Позначення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жовтий</w:t>
            </w:r>
            <w:proofErr w:type="spellEnd"/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(мм): 22х127,</w:t>
            </w:r>
          </w:p>
          <w:p w:rsidR="00797264" w:rsidRPr="008D1864" w:rsidRDefault="00797264" w:rsidP="009912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D1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8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еквівалент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5740C5" w:rsidRDefault="00797264" w:rsidP="009912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264" w:rsidRPr="000A4520" w:rsidRDefault="00797264" w:rsidP="00991255">
            <w:pPr>
              <w:jc w:val="center"/>
              <w:rPr>
                <w:rFonts w:ascii="Arial" w:hAnsi="Arial" w:cs="Arial"/>
              </w:rPr>
            </w:pPr>
            <w:r w:rsidRPr="000A4520">
              <w:rPr>
                <w:rFonts w:ascii="Arial" w:hAnsi="Arial" w:cs="Arial"/>
              </w:rPr>
              <w:t>320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C823F6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64" w:rsidRPr="00C823F6" w:rsidRDefault="00797264" w:rsidP="00991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C34B28" w:rsidRPr="000E38DC" w:rsidRDefault="00C34B28" w:rsidP="000E38DC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11862" w:rsidRPr="00281539" w:rsidRDefault="00411862" w:rsidP="00411862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A5561F" w:rsidRDefault="00411862" w:rsidP="00A5561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  <w:lang w:val="uk-UA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i w:val="0"/>
          <w:sz w:val="24"/>
          <w:szCs w:val="24"/>
          <w:lang w:val="uk-UA"/>
        </w:rPr>
        <w:t>не</w:t>
      </w:r>
      <w:r w:rsidRPr="00281539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sz w:val="24"/>
          <w:szCs w:val="24"/>
          <w:lang w:val="uk-UA"/>
        </w:rPr>
        <w:t>завдаватиме шкоди навколишньому середовищу та передбачатиме заходи щодо захисту довкілля.</w:t>
      </w:r>
    </w:p>
    <w:p w:rsidR="006C70CA" w:rsidRDefault="006C70CA" w:rsidP="00A5561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</w:p>
    <w:p w:rsidR="00281539" w:rsidRPr="00A5561F" w:rsidRDefault="00281539" w:rsidP="00A55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Обґрунтування необхідності закупівлі даного виду товару :</w:t>
      </w:r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168C">
        <w:rPr>
          <w:rFonts w:ascii="Times New Roman" w:eastAsia="Times New Roman" w:hAnsi="Times New Roman" w:cs="Times New Roman"/>
          <w:sz w:val="24"/>
          <w:szCs w:val="24"/>
        </w:rPr>
        <w:t>товару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у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порядком є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02.08.2022 № 861.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hyperlink r:id="rId6" w:tgtFrame="_blank" w:history="1"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переліку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локалізованих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товарів</w:t>
        </w:r>
        <w:proofErr w:type="spellEnd"/>
      </w:hyperlink>
      <w: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AC4872" w:rsidRDefault="00AC4872" w:rsidP="00AC48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формою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наведений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митну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декларацію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ввезення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 24.02.2022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наведена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</w:t>
      </w:r>
    </w:p>
    <w:tbl>
      <w:tblPr>
        <w:tblW w:w="100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57"/>
        <w:gridCol w:w="2126"/>
        <w:gridCol w:w="2977"/>
        <w:gridCol w:w="992"/>
        <w:gridCol w:w="1134"/>
        <w:gridCol w:w="1276"/>
        <w:gridCol w:w="1134"/>
      </w:tblGrid>
      <w:tr w:rsidR="00AC4872" w:rsidRPr="002D170D" w:rsidTr="00892AA7">
        <w:trPr>
          <w:trHeight w:val="99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№ з/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Техн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ічні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Од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в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Виробник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AC4872" w:rsidRPr="002D170D" w:rsidTr="00892AA7">
        <w:trPr>
          <w:trHeight w:val="46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AC4872" w:rsidRPr="002D170D" w:rsidTr="00892AA7">
        <w:trPr>
          <w:trHeight w:val="128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4872" w:rsidRPr="00265D32" w:rsidRDefault="00AC4872" w:rsidP="00755E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892AA7" w:rsidRPr="00AC4872" w:rsidRDefault="00AC4872" w:rsidP="00892AA7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259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AC4872" w:rsidRPr="00AC4872" w:rsidRDefault="00AC4872" w:rsidP="00755E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4872" w:rsidRPr="002D170D" w:rsidRDefault="00AC4872" w:rsidP="00755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AC4872" w:rsidRDefault="00AC4872" w:rsidP="00AC4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тощо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товару 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</w:rPr>
        <w:t>якій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</w:rPr>
        <w:t>був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ідданий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:rsidR="00AC4872" w:rsidRPr="00452159" w:rsidRDefault="00AC4872" w:rsidP="00AC4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●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ступінь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локалізації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підпунктом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пункту 6-1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Прикінцевих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перехідних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Закону,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предметом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</w:t>
      </w: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відсотків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 (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товар,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зазначаються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загальному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доступі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C4872" w:rsidRPr="005335D1" w:rsidRDefault="00AC4872" w:rsidP="0053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Вимога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застосовується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товарів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суми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зазначені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укладеній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квітня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1994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Марракеші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Протоколом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вчиненим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30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березня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2012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Женеві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міжнародних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згода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Верховною Радою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зокрема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угодах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вільну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торгівлю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гривневому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дату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країною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уклала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угоди,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приєдналася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ненадання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відхилена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встановленим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абзацом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першим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законодавства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z w:val="24"/>
          <w:szCs w:val="24"/>
          <w:lang w:val="uk-UA"/>
        </w:rPr>
        <w:t>Увага!!!</w:t>
      </w:r>
    </w:p>
    <w:p w:rsidR="00281539" w:rsidRPr="00281539" w:rsidRDefault="00281539" w:rsidP="00281539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2815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281539">
        <w:rPr>
          <w:rFonts w:ascii="Times New Roman" w:hAnsi="Times New Roman"/>
          <w:b/>
          <w:bCs/>
          <w:sz w:val="24"/>
          <w:szCs w:val="24"/>
          <w:lang w:val="uk-UA"/>
        </w:rPr>
        <w:t>поставки товару, у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відповідності до вимог, визначених згідно з умовами тендерної документації.</w:t>
      </w:r>
    </w:p>
    <w:p w:rsidR="00281539" w:rsidRPr="00F834BE" w:rsidRDefault="00281539" w:rsidP="00281539">
      <w:pPr>
        <w:spacing w:after="0" w:line="240" w:lineRule="auto"/>
        <w:ind w:firstLine="539"/>
        <w:jc w:val="both"/>
        <w:rPr>
          <w:lang w:val="uk-UA"/>
        </w:rPr>
      </w:pPr>
    </w:p>
    <w:p w:rsidR="00C75FD1" w:rsidRPr="00A64342" w:rsidRDefault="00C75FD1" w:rsidP="0041186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64342" w:rsidRPr="00A64342" w:rsidRDefault="00A6434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64342" w:rsidRPr="00A64342" w:rsidSect="006B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069C392B"/>
    <w:multiLevelType w:val="hybridMultilevel"/>
    <w:tmpl w:val="83BA0D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40A92"/>
    <w:multiLevelType w:val="hybridMultilevel"/>
    <w:tmpl w:val="895C0802"/>
    <w:lvl w:ilvl="0" w:tplc="68AC2276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CA65FC"/>
    <w:multiLevelType w:val="hybridMultilevel"/>
    <w:tmpl w:val="6C2EA78A"/>
    <w:lvl w:ilvl="0" w:tplc="D3784F58">
      <w:start w:val="4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B019FC"/>
    <w:multiLevelType w:val="multilevel"/>
    <w:tmpl w:val="2D38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77DB0"/>
    <w:multiLevelType w:val="hybridMultilevel"/>
    <w:tmpl w:val="6E0AD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B327FCD"/>
    <w:multiLevelType w:val="hybridMultilevel"/>
    <w:tmpl w:val="B122F2B4"/>
    <w:lvl w:ilvl="0" w:tplc="FD123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862"/>
    <w:rsid w:val="00000589"/>
    <w:rsid w:val="00006882"/>
    <w:rsid w:val="000108BD"/>
    <w:rsid w:val="000821B8"/>
    <w:rsid w:val="000E1E76"/>
    <w:rsid w:val="000E38DC"/>
    <w:rsid w:val="000E66A4"/>
    <w:rsid w:val="00123DB1"/>
    <w:rsid w:val="00124BBF"/>
    <w:rsid w:val="001E4799"/>
    <w:rsid w:val="00210347"/>
    <w:rsid w:val="00221539"/>
    <w:rsid w:val="002469AA"/>
    <w:rsid w:val="002513B7"/>
    <w:rsid w:val="00281539"/>
    <w:rsid w:val="00287427"/>
    <w:rsid w:val="002B3A79"/>
    <w:rsid w:val="002C4003"/>
    <w:rsid w:val="002E75E7"/>
    <w:rsid w:val="003544B9"/>
    <w:rsid w:val="003C6213"/>
    <w:rsid w:val="003D18FE"/>
    <w:rsid w:val="003E659B"/>
    <w:rsid w:val="00411862"/>
    <w:rsid w:val="00422C9E"/>
    <w:rsid w:val="00466A44"/>
    <w:rsid w:val="00467926"/>
    <w:rsid w:val="00472CFA"/>
    <w:rsid w:val="004748F9"/>
    <w:rsid w:val="004A4C8F"/>
    <w:rsid w:val="004D3C0D"/>
    <w:rsid w:val="00506564"/>
    <w:rsid w:val="005335D1"/>
    <w:rsid w:val="005740C5"/>
    <w:rsid w:val="00590F5E"/>
    <w:rsid w:val="005E09A3"/>
    <w:rsid w:val="0060710F"/>
    <w:rsid w:val="00676A9A"/>
    <w:rsid w:val="006B2441"/>
    <w:rsid w:val="006C335B"/>
    <w:rsid w:val="006C70CA"/>
    <w:rsid w:val="006E5E09"/>
    <w:rsid w:val="00703461"/>
    <w:rsid w:val="007177B1"/>
    <w:rsid w:val="00755E71"/>
    <w:rsid w:val="00797264"/>
    <w:rsid w:val="007A1671"/>
    <w:rsid w:val="007C2E29"/>
    <w:rsid w:val="007C6747"/>
    <w:rsid w:val="007E465B"/>
    <w:rsid w:val="007E5BF0"/>
    <w:rsid w:val="00800920"/>
    <w:rsid w:val="0080138A"/>
    <w:rsid w:val="0082531B"/>
    <w:rsid w:val="0086259A"/>
    <w:rsid w:val="00892AA7"/>
    <w:rsid w:val="008A5BF7"/>
    <w:rsid w:val="008C240C"/>
    <w:rsid w:val="008D171C"/>
    <w:rsid w:val="008E2E77"/>
    <w:rsid w:val="008E4D0A"/>
    <w:rsid w:val="0090601D"/>
    <w:rsid w:val="00906379"/>
    <w:rsid w:val="00930BAA"/>
    <w:rsid w:val="0097640B"/>
    <w:rsid w:val="009812E1"/>
    <w:rsid w:val="009B3BC5"/>
    <w:rsid w:val="009F01A0"/>
    <w:rsid w:val="009F30C1"/>
    <w:rsid w:val="009F45D8"/>
    <w:rsid w:val="00A44F29"/>
    <w:rsid w:val="00A5561F"/>
    <w:rsid w:val="00A64342"/>
    <w:rsid w:val="00A64F60"/>
    <w:rsid w:val="00A8566E"/>
    <w:rsid w:val="00AC4872"/>
    <w:rsid w:val="00AD522A"/>
    <w:rsid w:val="00B12050"/>
    <w:rsid w:val="00B936BF"/>
    <w:rsid w:val="00BC4C9F"/>
    <w:rsid w:val="00C25E5C"/>
    <w:rsid w:val="00C30C52"/>
    <w:rsid w:val="00C32DF3"/>
    <w:rsid w:val="00C33582"/>
    <w:rsid w:val="00C34B28"/>
    <w:rsid w:val="00C503DA"/>
    <w:rsid w:val="00C74BF1"/>
    <w:rsid w:val="00C75FD1"/>
    <w:rsid w:val="00C93F8D"/>
    <w:rsid w:val="00C95A63"/>
    <w:rsid w:val="00CA0C4A"/>
    <w:rsid w:val="00CB3004"/>
    <w:rsid w:val="00CB471E"/>
    <w:rsid w:val="00D15FD8"/>
    <w:rsid w:val="00D24C2E"/>
    <w:rsid w:val="00D34191"/>
    <w:rsid w:val="00DC168C"/>
    <w:rsid w:val="00DE73B5"/>
    <w:rsid w:val="00E14F20"/>
    <w:rsid w:val="00E236EA"/>
    <w:rsid w:val="00E23C66"/>
    <w:rsid w:val="00E755F3"/>
    <w:rsid w:val="00ED052A"/>
    <w:rsid w:val="00EE58B1"/>
    <w:rsid w:val="00EF1BE7"/>
    <w:rsid w:val="00F019CA"/>
    <w:rsid w:val="00F064FE"/>
    <w:rsid w:val="00F22E8C"/>
    <w:rsid w:val="00F4203D"/>
    <w:rsid w:val="00F65641"/>
    <w:rsid w:val="00FA4D3E"/>
    <w:rsid w:val="00FA5CA4"/>
    <w:rsid w:val="00FC7E7B"/>
    <w:rsid w:val="00FD0BF5"/>
    <w:rsid w:val="00FE07B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?local_shar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2023-03-22T06:48:00Z</cp:lastPrinted>
  <dcterms:created xsi:type="dcterms:W3CDTF">2023-03-01T06:43:00Z</dcterms:created>
  <dcterms:modified xsi:type="dcterms:W3CDTF">2023-07-04T13:17:00Z</dcterms:modified>
</cp:coreProperties>
</file>