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margin" w:horzAnchor="margin" w:tblpXSpec="right" w:leftFromText="180" w:rightFromText="180" w:tblpY="1862"/>
        <w:tblW w:w="6120"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6120"/>
      </w:tblGrid>
      <w:tr>
        <w:trPr/>
        <w:tc>
          <w:tcPr>
            <w:tcW w:w="6120" w:type="dxa"/>
            <w:tcBorders/>
          </w:tcPr>
          <w:p>
            <w:pPr>
              <w:pStyle w:val="Normal"/>
              <w:widowControl w:val="false"/>
              <w:tabs>
                <w:tab w:val="clear" w:pos="720"/>
                <w:tab w:val="left" w:pos="9356" w:leader="none"/>
              </w:tabs>
              <w:ind w:left="1596" w:hanging="0"/>
              <w:rPr>
                <w:b/>
                <w:b/>
                <w:bCs/>
              </w:rPr>
            </w:pPr>
            <w:r>
              <w:rPr>
                <w:b/>
                <w:bCs/>
              </w:rPr>
              <w:t>ЗАТВЕРДЖЕНО</w:t>
            </w:r>
          </w:p>
        </w:tc>
      </w:tr>
      <w:tr>
        <w:trPr/>
        <w:tc>
          <w:tcPr>
            <w:tcW w:w="6120" w:type="dxa"/>
            <w:tcBorders/>
          </w:tcPr>
          <w:p>
            <w:pPr>
              <w:pStyle w:val="Normal"/>
              <w:widowControl w:val="false"/>
              <w:tabs>
                <w:tab w:val="clear" w:pos="720"/>
                <w:tab w:val="left" w:pos="9356" w:leader="none"/>
              </w:tabs>
              <w:ind w:left="1596" w:hanging="0"/>
              <w:rPr>
                <w:bCs/>
              </w:rPr>
            </w:pPr>
            <w:r>
              <w:rPr>
                <w:bCs/>
              </w:rPr>
              <w:t xml:space="preserve">Рішенням Уповноваженої особи </w:t>
            </w:r>
            <w:r>
              <w:rPr>
                <w:bCs/>
              </w:rPr>
              <w:t>№43</w:t>
            </w:r>
          </w:p>
        </w:tc>
      </w:tr>
      <w:tr>
        <w:trPr/>
        <w:tc>
          <w:tcPr>
            <w:tcW w:w="6120" w:type="dxa"/>
            <w:tcBorders/>
          </w:tcPr>
          <w:p>
            <w:pPr>
              <w:pStyle w:val="Normal"/>
              <w:widowControl w:val="false"/>
              <w:tabs>
                <w:tab w:val="clear" w:pos="720"/>
                <w:tab w:val="left" w:pos="9356" w:leader="none"/>
              </w:tabs>
              <w:ind w:left="1596" w:hanging="0"/>
              <w:rPr>
                <w:bCs/>
              </w:rPr>
            </w:pPr>
            <w:r>
              <w:rPr>
                <w:bCs/>
                <w:color w:val="000000" w:themeColor="text1"/>
              </w:rPr>
              <w:t>від  «0</w:t>
            </w:r>
            <w:r>
              <w:rPr>
                <w:bCs/>
                <w:color w:val="000000" w:themeColor="text1"/>
              </w:rPr>
              <w:t>9</w:t>
            </w:r>
            <w:r>
              <w:rPr>
                <w:bCs/>
                <w:color w:val="000000" w:themeColor="text1"/>
              </w:rPr>
              <w:t xml:space="preserve">» </w:t>
            </w:r>
            <w:r>
              <w:rPr>
                <w:bCs/>
              </w:rPr>
              <w:t>квітня 2024 року</w:t>
            </w:r>
          </w:p>
        </w:tc>
      </w:tr>
      <w:tr>
        <w:trPr/>
        <w:tc>
          <w:tcPr>
            <w:tcW w:w="6120" w:type="dxa"/>
            <w:tcBorders/>
          </w:tcPr>
          <w:p>
            <w:pPr>
              <w:pStyle w:val="Normal"/>
              <w:widowControl w:val="false"/>
              <w:tabs>
                <w:tab w:val="clear" w:pos="720"/>
                <w:tab w:val="left" w:pos="9356" w:leader="none"/>
              </w:tabs>
              <w:ind w:left="1596" w:hanging="0"/>
              <w:rPr>
                <w:bCs/>
              </w:rPr>
            </w:pPr>
            <w:r>
              <w:rPr>
                <w:bCs/>
              </w:rPr>
            </w:r>
          </w:p>
        </w:tc>
      </w:tr>
      <w:tr>
        <w:trPr/>
        <w:tc>
          <w:tcPr>
            <w:tcW w:w="6120" w:type="dxa"/>
            <w:tcBorders/>
          </w:tcPr>
          <w:p>
            <w:pPr>
              <w:pStyle w:val="Normal"/>
              <w:widowControl w:val="false"/>
              <w:tabs>
                <w:tab w:val="clear" w:pos="720"/>
                <w:tab w:val="left" w:pos="9356" w:leader="none"/>
              </w:tabs>
              <w:ind w:left="1596" w:hanging="0"/>
              <w:rPr/>
            </w:pPr>
            <w:r>
              <w:rPr>
                <w:b/>
                <w:bCs/>
              </w:rPr>
              <w:t>_______________</w:t>
            </w:r>
          </w:p>
        </w:tc>
      </w:tr>
    </w:tbl>
    <w:p>
      <w:pPr>
        <w:pStyle w:val="Normal"/>
        <w:jc w:val="center"/>
        <w:rPr>
          <w:b/>
          <w:b/>
          <w:color w:val="000000"/>
        </w:rPr>
      </w:pPr>
      <w:r/>
      <w:r>
        <w:rPr>
          <w:b/>
          <w:bCs/>
          <w:color w:val="000000" w:themeColor="text1"/>
          <w:sz w:val="40"/>
          <w:szCs w:val="40"/>
        </w:rPr>
        <w:t>КОМУНАЛЬНЕ НЕКОМЕРЦІЙНЕ ПІДПРИЄМСТВО “ЦЕНТР ПЕРВИННОЇ МЕДИКО-САНІТАРНОЇ ДОПОМОГИ №2” ОМР</w:t>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t xml:space="preserve">                                                     </w:t>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t xml:space="preserve">                                                    </w:t>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rPr>
          <w:b/>
          <w:b/>
          <w:color w:val="000000"/>
        </w:rPr>
      </w:pPr>
      <w:r>
        <w:rPr>
          <w:b/>
          <w:color w:val="000000"/>
        </w:rPr>
      </w:r>
    </w:p>
    <w:p>
      <w:pPr>
        <w:pStyle w:val="Normal"/>
        <w:jc w:val="center"/>
        <w:rPr>
          <w:b/>
          <w:b/>
          <w:color w:val="000000"/>
          <w:sz w:val="32"/>
          <w:szCs w:val="32"/>
        </w:rPr>
      </w:pPr>
      <w:r>
        <w:rPr>
          <w:b/>
          <w:color w:val="000000"/>
          <w:sz w:val="32"/>
          <w:szCs w:val="32"/>
        </w:rPr>
      </w:r>
    </w:p>
    <w:p>
      <w:pPr>
        <w:pStyle w:val="Normal"/>
        <w:jc w:val="center"/>
        <w:rPr>
          <w:sz w:val="32"/>
          <w:szCs w:val="32"/>
        </w:rPr>
      </w:pPr>
      <w:r>
        <w:rPr>
          <w:b/>
          <w:color w:val="000000"/>
          <w:sz w:val="32"/>
          <w:szCs w:val="32"/>
        </w:rPr>
        <w:t>ТЕНДЕРНА ДОКУМЕНТАЦІЯ</w:t>
      </w:r>
    </w:p>
    <w:p>
      <w:pPr>
        <w:pStyle w:val="Normal"/>
        <w:jc w:val="center"/>
        <w:rPr>
          <w:b/>
          <w:b/>
          <w:color w:val="000000"/>
        </w:rPr>
      </w:pPr>
      <w:r>
        <w:rPr>
          <w:b/>
          <w:color w:val="000000"/>
        </w:rPr>
        <w:t> </w:t>
      </w:r>
      <w:r>
        <w:rPr>
          <w:color w:val="000000"/>
        </w:rPr>
        <w:t>по процедурі</w:t>
      </w:r>
      <w:r>
        <w:rPr>
          <w:b/>
          <w:color w:val="000000"/>
        </w:rPr>
        <w:t xml:space="preserve"> ВІДКРИТІ ТОРГИ </w:t>
      </w:r>
    </w:p>
    <w:p>
      <w:pPr>
        <w:pStyle w:val="Normal"/>
        <w:jc w:val="center"/>
        <w:rPr>
          <w:color w:val="4A86E8"/>
        </w:rPr>
      </w:pPr>
      <w:r>
        <w:rPr>
          <w:b/>
        </w:rPr>
        <w:t>(з особливостями)</w:t>
      </w:r>
    </w:p>
    <w:p>
      <w:pPr>
        <w:pStyle w:val="Normal"/>
        <w:spacing w:before="240" w:after="0"/>
        <w:jc w:val="center"/>
        <w:rPr>
          <w:color w:val="000000"/>
        </w:rPr>
      </w:pPr>
      <w:r>
        <w:rPr>
          <w:color w:val="000000"/>
        </w:rPr>
        <w:t xml:space="preserve">на закупівлю </w:t>
      </w:r>
    </w:p>
    <w:p>
      <w:pPr>
        <w:pStyle w:val="Normal"/>
        <w:spacing w:before="240" w:after="0"/>
        <w:jc w:val="center"/>
        <w:rPr>
          <w:color w:val="000000"/>
        </w:rPr>
      </w:pPr>
      <w:r>
        <w:rPr>
          <w:color w:val="000000"/>
        </w:rPr>
      </w:r>
    </w:p>
    <w:p>
      <w:pPr>
        <w:pStyle w:val="Normal"/>
        <w:jc w:val="center"/>
        <w:rPr>
          <w:b/>
          <w:b/>
          <w:color w:val="000000" w:themeColor="text1"/>
          <w:sz w:val="28"/>
          <w:szCs w:val="28"/>
        </w:rPr>
      </w:pPr>
      <w:r>
        <w:rPr>
          <w:b/>
          <w:color w:val="000000" w:themeColor="text1"/>
          <w:sz w:val="28"/>
          <w:szCs w:val="28"/>
        </w:rPr>
        <w:t xml:space="preserve">Лікарські засоби </w:t>
      </w:r>
    </w:p>
    <w:p>
      <w:pPr>
        <w:pStyle w:val="Normal"/>
        <w:jc w:val="center"/>
        <w:rPr>
          <w:b/>
          <w:b/>
          <w:color w:val="000000" w:themeColor="text1"/>
        </w:rPr>
      </w:pPr>
      <w:r>
        <w:rPr>
          <w:b/>
          <w:color w:val="000000" w:themeColor="text1"/>
          <w:sz w:val="28"/>
          <w:szCs w:val="28"/>
        </w:rPr>
        <w:t>Код ДК 021:2015 (CPV) - 33690000-3 – Лікарські засоби різні</w:t>
      </w:r>
    </w:p>
    <w:p>
      <w:pPr>
        <w:pStyle w:val="Normal"/>
        <w:spacing w:before="240" w:after="0"/>
        <w:rPr>
          <w:color w:val="FF0000"/>
        </w:rPr>
      </w:pPr>
      <w:r>
        <w:rPr>
          <w:color w:val="FF0000"/>
        </w:rPr>
        <w:t> </w:t>
      </w:r>
    </w:p>
    <w:p>
      <w:pPr>
        <w:pStyle w:val="Normal"/>
        <w:spacing w:before="240" w:after="0"/>
        <w:rPr/>
      </w:pPr>
      <w:r>
        <w:rPr/>
      </w:r>
    </w:p>
    <w:p>
      <w:pPr>
        <w:pStyle w:val="Normal"/>
        <w:spacing w:before="240" w:after="0"/>
        <w:rPr>
          <w:color w:val="000000"/>
        </w:rPr>
      </w:pPr>
      <w:r>
        <w:rPr>
          <w:color w:val="000000"/>
        </w:rPr>
        <w:t> </w:t>
      </w:r>
    </w:p>
    <w:p>
      <w:pPr>
        <w:pStyle w:val="Normal"/>
        <w:spacing w:before="240" w:after="0"/>
        <w:rPr/>
      </w:pPr>
      <w:r>
        <w:rPr/>
      </w:r>
    </w:p>
    <w:p>
      <w:pPr>
        <w:pStyle w:val="Normal"/>
        <w:spacing w:before="240" w:after="0"/>
        <w:rPr/>
      </w:pPr>
      <w:r>
        <w:rPr/>
      </w:r>
    </w:p>
    <w:p>
      <w:pPr>
        <w:pStyle w:val="Normal"/>
        <w:spacing w:before="240" w:after="0"/>
        <w:rPr/>
      </w:pPr>
      <w:r>
        <w:rPr/>
      </w:r>
    </w:p>
    <w:p>
      <w:pPr>
        <w:pStyle w:val="Normal"/>
        <w:spacing w:before="240" w:after="0"/>
        <w:rPr/>
      </w:pPr>
      <w:r>
        <w:rPr/>
      </w:r>
    </w:p>
    <w:p>
      <w:pPr>
        <w:pStyle w:val="Normal"/>
        <w:spacing w:before="240" w:after="0"/>
        <w:rPr/>
      </w:pPr>
      <w:r>
        <w:rPr/>
      </w:r>
    </w:p>
    <w:p>
      <w:pPr>
        <w:pStyle w:val="Normal"/>
        <w:spacing w:before="240" w:after="0"/>
        <w:rPr/>
      </w:pPr>
      <w:r>
        <w:rPr/>
      </w:r>
    </w:p>
    <w:p>
      <w:pPr>
        <w:pStyle w:val="Normal"/>
        <w:spacing w:before="240" w:after="0"/>
        <w:rPr/>
      </w:pPr>
      <w:r>
        <w:rPr/>
      </w:r>
    </w:p>
    <w:p>
      <w:pPr>
        <w:pStyle w:val="Normal"/>
        <w:tabs>
          <w:tab w:val="clear" w:pos="720"/>
          <w:tab w:val="left" w:pos="3630" w:leader="none"/>
        </w:tabs>
        <w:spacing w:before="240" w:after="0"/>
        <w:rPr>
          <w:b/>
          <w:b/>
        </w:rPr>
      </w:pPr>
      <w:r>
        <w:rPr/>
        <w:tab/>
      </w:r>
      <w:r>
        <w:rPr>
          <w:b/>
        </w:rPr>
        <w:t>м.</w:t>
      </w:r>
      <w:r>
        <w:rPr/>
        <w:t xml:space="preserve"> </w:t>
      </w:r>
      <w:r>
        <w:rPr>
          <w:b/>
        </w:rPr>
        <w:t>Одеса – 2024</w:t>
      </w:r>
    </w:p>
    <w:p>
      <w:pPr>
        <w:pStyle w:val="Normal"/>
        <w:widowControl w:val="false"/>
        <w:jc w:val="center"/>
        <w:rPr>
          <w:b/>
          <w:b/>
          <w:bCs/>
          <w:color w:val="000000"/>
        </w:rPr>
      </w:pPr>
      <w:r>
        <w:rPr>
          <w:b/>
          <w:bCs/>
          <w:color w:val="000000"/>
        </w:rPr>
      </w:r>
    </w:p>
    <w:p>
      <w:pPr>
        <w:pStyle w:val="Normal"/>
        <w:widowControl w:val="false"/>
        <w:jc w:val="center"/>
        <w:rPr>
          <w:b/>
          <w:b/>
          <w:bCs/>
          <w:color w:val="000000"/>
        </w:rPr>
      </w:pPr>
      <w:bookmarkStart w:id="0" w:name="_heading=h.1fob9te"/>
      <w:bookmarkEnd w:id="0"/>
      <w:r>
        <w:rPr>
          <w:b/>
          <w:bCs/>
          <w:color w:val="000000"/>
        </w:rPr>
        <w:tab/>
      </w:r>
    </w:p>
    <w:tbl>
      <w:tblPr>
        <w:tblStyle w:val="af7"/>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3000"/>
        <w:gridCol w:w="6255"/>
      </w:tblGrid>
      <w:tr>
        <w:trPr>
          <w:trHeight w:val="416" w:hRule="atLeast"/>
        </w:trPr>
        <w:tc>
          <w:tcPr>
            <w:tcW w:w="705" w:type="dxa"/>
            <w:tcBorders>
              <w:top w:val="single" w:sz="4" w:space="0" w:color="000000"/>
              <w:left w:val="single" w:sz="4" w:space="0" w:color="000000"/>
              <w:bottom w:val="single" w:sz="4" w:space="0" w:color="000000"/>
            </w:tcBorders>
            <w:vAlign w:val="center"/>
          </w:tcPr>
          <w:p>
            <w:pPr>
              <w:pStyle w:val="Normal"/>
              <w:widowControl w:val="false"/>
              <w:jc w:val="center"/>
              <w:rPr/>
            </w:pPr>
            <w:r>
              <w:rPr/>
              <w:t>№</w:t>
            </w:r>
          </w:p>
        </w:tc>
        <w:tc>
          <w:tcPr>
            <w:tcW w:w="9255" w:type="dxa"/>
            <w:gridSpan w:val="2"/>
            <w:tcBorders>
              <w:top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b/>
                <w:b/>
              </w:rPr>
            </w:pPr>
            <w:r>
              <w:rPr>
                <w:b/>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tcBorders>
            <w:vAlign w:val="center"/>
          </w:tcPr>
          <w:p>
            <w:pPr>
              <w:pStyle w:val="Normal"/>
              <w:widowControl w:val="false"/>
              <w:jc w:val="center"/>
              <w:rPr/>
            </w:pPr>
            <w:r>
              <w:rPr/>
              <w:t>1</w:t>
            </w:r>
          </w:p>
        </w:tc>
        <w:tc>
          <w:tcPr>
            <w:tcW w:w="3000" w:type="dxa"/>
            <w:tcBorders>
              <w:top w:val="single" w:sz="4" w:space="0" w:color="000000"/>
              <w:bottom w:val="single" w:sz="4" w:space="0" w:color="000000"/>
            </w:tcBorders>
            <w:vAlign w:val="center"/>
          </w:tcPr>
          <w:p>
            <w:pPr>
              <w:pStyle w:val="Normal"/>
              <w:widowControl w:val="false"/>
              <w:jc w:val="center"/>
              <w:rPr/>
            </w:pPr>
            <w:r>
              <w:rPr/>
              <w:t>2</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center"/>
              <w:rPr/>
            </w:pPr>
            <w:r>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color w:val="000000"/>
              </w:rPr>
              <w:t>1</w:t>
            </w:r>
          </w:p>
        </w:tc>
        <w:tc>
          <w:tcPr>
            <w:tcW w:w="300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
                <w:color w:val="000000"/>
              </w:rPr>
              <w:t>Терміни, які вживаються в тендерній документації</w:t>
            </w:r>
          </w:p>
        </w:tc>
        <w:tc>
          <w:tcPr>
            <w:tcW w:w="625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Тендерну д</w:t>
            </w:r>
            <w:r>
              <w:rPr>
                <w:color w:val="000000"/>
              </w:rPr>
              <w:t xml:space="preserve">окументацію розроблено відповідно до вимог Закону України «Про публічні закупівлі» (далі </w:t>
            </w:r>
            <w:r>
              <w:rPr/>
              <w:t>—</w:t>
            </w:r>
            <w:r>
              <w:rPr>
                <w:color w:val="000000"/>
              </w:rPr>
              <w:t xml:space="preserve"> Закон)</w:t>
            </w:r>
            <w:r>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jc w:val="both"/>
              <w:rPr/>
            </w:pPr>
            <w:r>
              <w:rPr>
                <w:color w:val="000000"/>
              </w:rPr>
              <w:t xml:space="preserve"> </w:t>
            </w:r>
            <w:r>
              <w:rPr>
                <w:color w:val="000000"/>
              </w:rPr>
              <w:t xml:space="preserve">Терміни, які використовуються в цій документації, вживаються у значенні, наведеному в Законі та </w:t>
            </w:r>
            <w:r>
              <w:rPr/>
              <w:t>Особливостях.</w:t>
            </w:r>
          </w:p>
        </w:tc>
      </w:tr>
      <w:tr>
        <w:trPr>
          <w:trHeight w:val="615"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pPr>
            <w:r>
              <w:rPr>
                <w:b/>
                <w:color w:val="000000"/>
              </w:rPr>
              <w:t>Інформація про замовника торгів</w:t>
            </w:r>
          </w:p>
        </w:tc>
        <w:tc>
          <w:tcPr>
            <w:tcW w:w="6255" w:type="dxa"/>
            <w:tcBorders>
              <w:top w:val="single" w:sz="4" w:space="0" w:color="000000"/>
              <w:bottom w:val="single" w:sz="4" w:space="0" w:color="000000"/>
              <w:right w:val="single" w:sz="4" w:space="0" w:color="000000"/>
            </w:tcBorders>
          </w:tcPr>
          <w:p>
            <w:pPr>
              <w:pStyle w:val="Normal"/>
              <w:widowControl w:val="false"/>
              <w:jc w:val="both"/>
              <w:rPr/>
            </w:pPr>
            <w:r>
              <w:rPr>
                <w:color w:val="000000"/>
              </w:rPr>
              <w:t> </w:t>
            </w:r>
          </w:p>
        </w:tc>
      </w:tr>
      <w:tr>
        <w:trPr>
          <w:trHeight w:val="285"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2.1</w:t>
            </w:r>
          </w:p>
        </w:tc>
        <w:tc>
          <w:tcPr>
            <w:tcW w:w="3000" w:type="dxa"/>
            <w:tcBorders>
              <w:top w:val="single" w:sz="4" w:space="0" w:color="000000"/>
              <w:bottom w:val="single" w:sz="4" w:space="0" w:color="000000"/>
            </w:tcBorders>
          </w:tcPr>
          <w:p>
            <w:pPr>
              <w:pStyle w:val="Normal"/>
              <w:widowControl w:val="false"/>
              <w:rPr/>
            </w:pPr>
            <w:r>
              <w:rPr>
                <w:color w:val="000000"/>
              </w:rPr>
              <w:t>повне найменування</w:t>
            </w:r>
          </w:p>
        </w:tc>
        <w:tc>
          <w:tcPr>
            <w:tcW w:w="6255" w:type="dxa"/>
            <w:tcBorders>
              <w:top w:val="single" w:sz="4" w:space="0" w:color="000000"/>
              <w:bottom w:val="single" w:sz="4" w:space="0" w:color="000000"/>
              <w:right w:val="single" w:sz="4" w:space="0" w:color="000000"/>
            </w:tcBorders>
          </w:tcPr>
          <w:p>
            <w:pPr>
              <w:pStyle w:val="Normal"/>
              <w:widowControl w:val="false"/>
              <w:jc w:val="both"/>
              <w:rPr>
                <w:i/>
                <w:i/>
              </w:rPr>
            </w:pPr>
            <w:r>
              <w:rPr/>
              <w:t>КОМУНАЛЬНЕ НЕКОМЕРЦІЙНЕ ПІДПРИЄМСТВО “ЦЕНТР ПЕРВИННОЇ МЕДИКО-САНІТАРНОЇ ДОПОМОГИ №2” ОМР</w:t>
            </w:r>
          </w:p>
        </w:tc>
      </w:tr>
      <w:tr>
        <w:trPr>
          <w:trHeight w:val="536"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2.2</w:t>
            </w:r>
          </w:p>
        </w:tc>
        <w:tc>
          <w:tcPr>
            <w:tcW w:w="3000" w:type="dxa"/>
            <w:tcBorders>
              <w:top w:val="single" w:sz="4" w:space="0" w:color="000000"/>
              <w:bottom w:val="single" w:sz="4" w:space="0" w:color="000000"/>
            </w:tcBorders>
          </w:tcPr>
          <w:p>
            <w:pPr>
              <w:pStyle w:val="Normal"/>
              <w:widowControl w:val="false"/>
              <w:rPr/>
            </w:pPr>
            <w:r>
              <w:rPr>
                <w:color w:val="000000"/>
              </w:rPr>
              <w:t>місцезнаходження</w:t>
            </w:r>
          </w:p>
        </w:tc>
        <w:tc>
          <w:tcPr>
            <w:tcW w:w="6255" w:type="dxa"/>
            <w:tcBorders>
              <w:top w:val="single" w:sz="4" w:space="0" w:color="000000"/>
              <w:bottom w:val="single" w:sz="4" w:space="0" w:color="000000"/>
              <w:right w:val="single" w:sz="4" w:space="0" w:color="000000"/>
            </w:tcBorders>
          </w:tcPr>
          <w:p>
            <w:pPr>
              <w:pStyle w:val="Normal"/>
              <w:widowControl w:val="false"/>
              <w:jc w:val="both"/>
              <w:rPr>
                <w:highlight w:val="cyan"/>
              </w:rPr>
            </w:pPr>
            <w:r>
              <w:rPr>
                <w:bCs/>
              </w:rPr>
              <w:t>65014, Україна , Одеська обл., Одеса, провулок Обсерваторний, 8</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2.3</w:t>
            </w:r>
          </w:p>
        </w:tc>
        <w:tc>
          <w:tcPr>
            <w:tcW w:w="3000" w:type="dxa"/>
            <w:tcBorders>
              <w:top w:val="single" w:sz="4" w:space="0" w:color="000000"/>
              <w:bottom w:val="single" w:sz="4" w:space="0" w:color="000000"/>
            </w:tcBorders>
          </w:tcPr>
          <w:p>
            <w:pPr>
              <w:pStyle w:val="Normal"/>
              <w:widowControl w:val="false"/>
              <w:rPr/>
            </w:pPr>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bottom w:val="single" w:sz="4" w:space="0" w:color="000000"/>
              <w:right w:val="single" w:sz="4" w:space="0" w:color="000000"/>
            </w:tcBorders>
          </w:tcPr>
          <w:p>
            <w:pPr>
              <w:pStyle w:val="Normal"/>
              <w:widowControl w:val="false"/>
              <w:snapToGrid w:val="false"/>
              <w:ind w:right="127" w:hanging="0"/>
              <w:jc w:val="both"/>
              <w:rPr>
                <w:bCs/>
              </w:rPr>
            </w:pPr>
            <w:r>
              <w:rPr>
                <w:bCs/>
              </w:rPr>
              <w:t>ПІБ: Ганєва Маріанна  Іванівна</w:t>
            </w:r>
          </w:p>
          <w:p>
            <w:pPr>
              <w:pStyle w:val="Normal"/>
              <w:widowControl w:val="false"/>
              <w:jc w:val="both"/>
              <w:rPr/>
            </w:pPr>
            <w:r>
              <w:rPr/>
              <w:t>Посада: заступник  директора  з економічних питань (Уповноважена особа)</w:t>
            </w:r>
          </w:p>
          <w:p>
            <w:pPr>
              <w:pStyle w:val="Normal"/>
              <w:widowControl w:val="false"/>
              <w:jc w:val="both"/>
              <w:rPr>
                <w:bCs/>
              </w:rPr>
            </w:pPr>
            <w:r>
              <w:rPr/>
              <w:t xml:space="preserve">адреса: </w:t>
            </w:r>
            <w:r>
              <w:rPr>
                <w:bCs/>
              </w:rPr>
              <w:t>65014, Україна , Одеська обл., Одеса, провулок Обсерваторний, 8</w:t>
            </w:r>
          </w:p>
          <w:p>
            <w:pPr>
              <w:pStyle w:val="Normal"/>
              <w:widowControl w:val="false"/>
              <w:jc w:val="both"/>
              <w:rPr>
                <w:bCs/>
                <w:lang w:eastAsia="ar-SA"/>
              </w:rPr>
            </w:pPr>
            <w:r>
              <w:rPr/>
              <w:t xml:space="preserve">т/ф. </w:t>
            </w:r>
            <w:r>
              <w:rPr>
                <w:bCs/>
                <w:lang w:val="en-US" w:eastAsia="ar-SA"/>
              </w:rPr>
              <w:t>.+ 38 (096) 497 38 94</w:t>
            </w:r>
          </w:p>
          <w:p>
            <w:pPr>
              <w:pStyle w:val="Normal"/>
              <w:widowControl w:val="false"/>
              <w:jc w:val="both"/>
              <w:rPr/>
            </w:pPr>
            <w:r>
              <w:rPr/>
              <w:t>e-mail:</w:t>
            </w:r>
            <w:r>
              <w:rPr>
                <w:lang w:val="en-US"/>
              </w:rPr>
              <w:t xml:space="preserve"> </w:t>
            </w:r>
            <w:hyperlink r:id="rId2">
              <w:r>
                <w:rPr/>
                <w:t>gor_pol@i.ua</w:t>
              </w:r>
            </w:hyperlink>
            <w:r>
              <w:rPr/>
              <w:t xml:space="preserve"> </w:t>
            </w:r>
          </w:p>
          <w:p>
            <w:pPr>
              <w:pStyle w:val="Normal"/>
              <w:widowControl w:val="false"/>
              <w:tabs>
                <w:tab w:val="clear" w:pos="720"/>
                <w:tab w:val="left" w:pos="708" w:leader="none"/>
                <w:tab w:val="left" w:pos="1416" w:leader="none"/>
                <w:tab w:val="left" w:pos="2124" w:leader="none"/>
                <w:tab w:val="left" w:pos="2832" w:leader="none"/>
                <w:tab w:val="left" w:pos="3540" w:leader="none"/>
                <w:tab w:val="center" w:pos="4677" w:leader="none"/>
              </w:tabs>
              <w:jc w:val="both"/>
              <w:rPr>
                <w:i/>
                <w:i/>
                <w:color w:val="FF0000"/>
                <w:highlight w:val="yellow"/>
              </w:rPr>
            </w:pPr>
            <w:r>
              <w:rPr>
                <w:i/>
                <w:color w:val="FF0000"/>
                <w:highlight w:val="yellow"/>
              </w:rPr>
            </w:r>
          </w:p>
        </w:tc>
      </w:tr>
      <w:tr>
        <w:trPr>
          <w:trHeight w:val="15"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3</w:t>
            </w:r>
          </w:p>
        </w:tc>
        <w:tc>
          <w:tcPr>
            <w:tcW w:w="3000" w:type="dxa"/>
            <w:tcBorders>
              <w:top w:val="single" w:sz="4" w:space="0" w:color="000000"/>
              <w:bottom w:val="single" w:sz="4" w:space="0" w:color="000000"/>
            </w:tcBorders>
          </w:tcPr>
          <w:p>
            <w:pPr>
              <w:pStyle w:val="Normal"/>
              <w:widowControl w:val="false"/>
              <w:rPr/>
            </w:pPr>
            <w:r>
              <w:rPr>
                <w:b/>
                <w:color w:val="000000"/>
              </w:rPr>
              <w:t>Процедура закупівлі</w:t>
            </w:r>
          </w:p>
        </w:tc>
        <w:tc>
          <w:tcPr>
            <w:tcW w:w="6255" w:type="dxa"/>
            <w:tcBorders>
              <w:top w:val="single" w:sz="4" w:space="0" w:color="000000"/>
              <w:bottom w:val="single" w:sz="4" w:space="0" w:color="000000"/>
              <w:right w:val="single" w:sz="4" w:space="0" w:color="000000"/>
            </w:tcBorders>
          </w:tcPr>
          <w:p>
            <w:pPr>
              <w:pStyle w:val="Normal"/>
              <w:widowControl w:val="false"/>
              <w:jc w:val="both"/>
              <w:rPr/>
            </w:pPr>
            <w:r>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w:t>
            </w:r>
          </w:p>
        </w:tc>
        <w:tc>
          <w:tcPr>
            <w:tcW w:w="3000" w:type="dxa"/>
            <w:tcBorders>
              <w:top w:val="single" w:sz="4" w:space="0" w:color="000000"/>
              <w:bottom w:val="single" w:sz="4" w:space="0" w:color="000000"/>
            </w:tcBorders>
          </w:tcPr>
          <w:p>
            <w:pPr>
              <w:pStyle w:val="Normal"/>
              <w:widowControl w:val="false"/>
              <w:rPr/>
            </w:pPr>
            <w:r>
              <w:rPr>
                <w:b/>
                <w:color w:val="000000"/>
              </w:rPr>
              <w:t>Інформація про предмет закупівлі</w:t>
            </w:r>
          </w:p>
        </w:tc>
        <w:tc>
          <w:tcPr>
            <w:tcW w:w="6255" w:type="dxa"/>
            <w:tcBorders>
              <w:top w:val="single" w:sz="4" w:space="0" w:color="000000"/>
              <w:bottom w:val="single" w:sz="4" w:space="0" w:color="000000"/>
              <w:right w:val="single" w:sz="4" w:space="0" w:color="000000"/>
            </w:tcBorders>
          </w:tcPr>
          <w:p>
            <w:pPr>
              <w:pStyle w:val="Normal"/>
              <w:widowControl w:val="false"/>
              <w:jc w:val="both"/>
              <w:rPr/>
            </w:pPr>
            <w:r>
              <w:rPr>
                <w:i/>
                <w:color w:val="000000"/>
              </w:rPr>
              <w:t> </w:t>
            </w:r>
          </w:p>
        </w:tc>
      </w:tr>
      <w:tr>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4.1</w:t>
            </w:r>
          </w:p>
        </w:tc>
        <w:tc>
          <w:tcPr>
            <w:tcW w:w="3000" w:type="dxa"/>
            <w:tcBorders>
              <w:top w:val="single" w:sz="4" w:space="0" w:color="000000"/>
              <w:bottom w:val="single" w:sz="4" w:space="0" w:color="000000"/>
            </w:tcBorders>
          </w:tcPr>
          <w:p>
            <w:pPr>
              <w:pStyle w:val="Normal"/>
              <w:widowControl w:val="false"/>
              <w:rPr/>
            </w:pPr>
            <w:r>
              <w:rPr>
                <w:color w:val="000000"/>
              </w:rPr>
              <w:t>назва предмета закупівлі</w:t>
            </w:r>
          </w:p>
        </w:tc>
        <w:tc>
          <w:tcPr>
            <w:tcW w:w="6255" w:type="dxa"/>
            <w:tcBorders>
              <w:top w:val="single" w:sz="4" w:space="0" w:color="000000"/>
              <w:bottom w:val="single" w:sz="4" w:space="0" w:color="000000"/>
              <w:right w:val="single" w:sz="4" w:space="0" w:color="000000"/>
            </w:tcBorders>
          </w:tcPr>
          <w:p>
            <w:pPr>
              <w:pStyle w:val="Normal"/>
              <w:widowControl w:val="false"/>
              <w:rPr>
                <w:bCs/>
                <w:color w:val="000000"/>
              </w:rPr>
            </w:pPr>
            <w:r>
              <w:rPr>
                <w:bCs/>
                <w:color w:val="000000"/>
              </w:rPr>
              <w:t xml:space="preserve">Лікарські засоби </w:t>
            </w:r>
          </w:p>
          <w:p>
            <w:pPr>
              <w:pStyle w:val="Normal"/>
              <w:widowControl w:val="false"/>
              <w:rPr>
                <w:bCs/>
                <w:color w:val="000000"/>
              </w:rPr>
            </w:pPr>
            <w:r>
              <w:rPr>
                <w:bCs/>
                <w:color w:val="000000"/>
              </w:rPr>
              <w:t>Код ДК 021:2015 (CPV) - 33690000-3 – Лікарські засоби різні</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color w:val="000000"/>
              </w:rPr>
            </w:pPr>
            <w:r>
              <w:rPr>
                <w:color w:val="000000"/>
              </w:rPr>
              <w:t>4.2</w:t>
            </w:r>
          </w:p>
        </w:tc>
        <w:tc>
          <w:tcPr>
            <w:tcW w:w="3000" w:type="dxa"/>
            <w:tcBorders>
              <w:top w:val="single" w:sz="4" w:space="0" w:color="000000"/>
              <w:bottom w:val="single" w:sz="4" w:space="0" w:color="000000"/>
            </w:tcBorders>
          </w:tcPr>
          <w:p>
            <w:pPr>
              <w:pStyle w:val="Normal"/>
              <w:widowControl w:val="false"/>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255" w:type="dxa"/>
            <w:tcBorders>
              <w:top w:val="single" w:sz="4" w:space="0" w:color="000000"/>
              <w:bottom w:val="single" w:sz="4" w:space="0" w:color="000000"/>
              <w:right w:val="single" w:sz="4" w:space="0" w:color="000000"/>
            </w:tcBorders>
          </w:tcPr>
          <w:p>
            <w:pPr>
              <w:pStyle w:val="Normal"/>
              <w:widowControl w:val="false"/>
              <w:ind w:right="120" w:hanging="0"/>
              <w:jc w:val="both"/>
              <w:rPr/>
            </w:pPr>
            <w:r>
              <w:rPr>
                <w:color w:val="000000"/>
              </w:rPr>
              <w:t>Закупівля здійснюється щодо предмет</w:t>
            </w:r>
            <w:r>
              <w:rPr/>
              <w:t>а</w:t>
            </w:r>
            <w:r>
              <w:rPr>
                <w:color w:val="000000"/>
              </w:rPr>
              <w:t xml:space="preserve"> закупівлі в цілому.</w:t>
            </w:r>
          </w:p>
          <w:p>
            <w:pPr>
              <w:pStyle w:val="Normal"/>
              <w:widowControl w:val="false"/>
              <w:ind w:right="120" w:hanging="0"/>
              <w:jc w:val="both"/>
              <w:rPr>
                <w:i/>
                <w:i/>
                <w:color w:val="FF0000"/>
                <w:highlight w:val="yellow"/>
              </w:rPr>
            </w:pPr>
            <w:r>
              <w:rPr>
                <w:i/>
                <w:color w:val="FF0000"/>
                <w:highlight w:val="yellow"/>
              </w:rPr>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4.3</w:t>
            </w:r>
          </w:p>
        </w:tc>
        <w:tc>
          <w:tcPr>
            <w:tcW w:w="3000" w:type="dxa"/>
            <w:tcBorders>
              <w:top w:val="single" w:sz="4" w:space="0" w:color="000000"/>
              <w:bottom w:val="single" w:sz="4" w:space="0" w:color="000000"/>
            </w:tcBorders>
          </w:tcPr>
          <w:p>
            <w:pPr>
              <w:pStyle w:val="Normal"/>
              <w:widowControl w:val="false"/>
              <w:rPr/>
            </w:pPr>
            <w:r>
              <w:rPr/>
              <w:t xml:space="preserve">кількість товару та місце його поставки </w:t>
            </w:r>
          </w:p>
          <w:p>
            <w:pPr>
              <w:pStyle w:val="Normal"/>
              <w:widowControl w:val="false"/>
              <w:rPr/>
            </w:pPr>
            <w:r>
              <w:rPr/>
            </w:r>
          </w:p>
        </w:tc>
        <w:tc>
          <w:tcPr>
            <w:tcW w:w="6255" w:type="dxa"/>
            <w:tcBorders>
              <w:top w:val="single" w:sz="4" w:space="0" w:color="000000"/>
              <w:bottom w:val="single" w:sz="4" w:space="0" w:color="000000"/>
              <w:right w:val="single" w:sz="4" w:space="0" w:color="000000"/>
            </w:tcBorders>
          </w:tcPr>
          <w:p>
            <w:pPr>
              <w:pStyle w:val="Normal"/>
              <w:widowControl w:val="false"/>
              <w:ind w:right="120" w:hanging="0"/>
              <w:jc w:val="both"/>
              <w:rPr/>
            </w:pPr>
            <w:r>
              <w:rPr/>
              <w:t>Кількість та номенклатурні позиції наведені у Додатку 2 тендерної документації</w:t>
            </w:r>
          </w:p>
          <w:p>
            <w:pPr>
              <w:pStyle w:val="Normal"/>
              <w:widowControl w:val="false"/>
              <w:ind w:right="120" w:hanging="0"/>
              <w:jc w:val="both"/>
              <w:rPr>
                <w:i/>
                <w:i/>
              </w:rPr>
            </w:pPr>
            <w:r>
              <w:rPr/>
              <w:t xml:space="preserve">Місце поставки товарів: </w:t>
            </w:r>
            <w:r>
              <w:rPr>
                <w:bCs/>
              </w:rPr>
              <w:t>65014, Україна , Одеська обл., Одеса, провулок Обсерваторний, 8</w:t>
            </w:r>
            <w:r>
              <w:rPr/>
              <w:t xml:space="preserve">.                </w:t>
            </w:r>
          </w:p>
        </w:tc>
      </w:tr>
      <w:tr>
        <w:trPr>
          <w:trHeight w:val="645"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4.4</w:t>
            </w:r>
          </w:p>
        </w:tc>
        <w:tc>
          <w:tcPr>
            <w:tcW w:w="3000" w:type="dxa"/>
            <w:tcBorders>
              <w:top w:val="single" w:sz="4" w:space="0" w:color="000000"/>
              <w:bottom w:val="single" w:sz="4" w:space="0" w:color="000000"/>
            </w:tcBorders>
          </w:tcPr>
          <w:p>
            <w:pPr>
              <w:pStyle w:val="Normal"/>
              <w:widowControl w:val="false"/>
              <w:rPr/>
            </w:pPr>
            <w:r>
              <w:rPr/>
              <w:t>строки поставки товарів, виконання робіт, надання послуг</w:t>
            </w:r>
          </w:p>
        </w:tc>
        <w:tc>
          <w:tcPr>
            <w:tcW w:w="6255" w:type="dxa"/>
            <w:tcBorders>
              <w:top w:val="single" w:sz="4" w:space="0" w:color="000000"/>
              <w:bottom w:val="single" w:sz="4" w:space="0" w:color="000000"/>
              <w:right w:val="single" w:sz="4" w:space="0" w:color="000000"/>
            </w:tcBorders>
          </w:tcPr>
          <w:p>
            <w:pPr>
              <w:pStyle w:val="Normal"/>
              <w:widowControl w:val="false"/>
              <w:rPr/>
            </w:pPr>
            <w:r>
              <w:rPr/>
              <w:t>до 31 грудня 2024 року.</w:t>
            </w:r>
          </w:p>
        </w:tc>
      </w:tr>
      <w:tr>
        <w:trPr>
          <w:trHeight w:val="841"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5</w:t>
            </w:r>
          </w:p>
        </w:tc>
        <w:tc>
          <w:tcPr>
            <w:tcW w:w="3000" w:type="dxa"/>
            <w:tcBorders>
              <w:top w:val="single" w:sz="4" w:space="0" w:color="000000"/>
              <w:bottom w:val="single" w:sz="4" w:space="0" w:color="000000"/>
            </w:tcBorders>
          </w:tcPr>
          <w:p>
            <w:pPr>
              <w:pStyle w:val="Normal"/>
              <w:widowControl w:val="false"/>
              <w:rPr/>
            </w:pPr>
            <w:r>
              <w:rPr>
                <w:b/>
                <w:color w:val="000000"/>
              </w:rPr>
              <w:t>Недискримінація учасників</w:t>
            </w:r>
            <w:r>
              <w:rPr/>
              <w:t xml:space="preserve"> </w:t>
            </w:r>
          </w:p>
        </w:tc>
        <w:tc>
          <w:tcPr>
            <w:tcW w:w="6255" w:type="dxa"/>
            <w:tcBorders>
              <w:top w:val="single" w:sz="4" w:space="0" w:color="000000"/>
              <w:bottom w:val="single" w:sz="4" w:space="0" w:color="000000"/>
              <w:right w:val="single" w:sz="4" w:space="0" w:color="000000"/>
            </w:tcBorders>
          </w:tcPr>
          <w:p>
            <w:pPr>
              <w:pStyle w:val="Normal"/>
              <w:widowControl w:val="false"/>
              <w:ind w:right="140" w:hanging="0"/>
              <w:jc w:val="both"/>
              <w:rPr/>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6</w:t>
            </w:r>
          </w:p>
        </w:tc>
        <w:tc>
          <w:tcPr>
            <w:tcW w:w="3000" w:type="dxa"/>
            <w:tcBorders>
              <w:top w:val="single" w:sz="4" w:space="0" w:color="000000"/>
              <w:bottom w:val="single" w:sz="4" w:space="0" w:color="000000"/>
            </w:tcBorders>
          </w:tcPr>
          <w:p>
            <w:pPr>
              <w:pStyle w:val="Normal"/>
              <w:widowControl w:val="false"/>
              <w:rPr/>
            </w:pPr>
            <w:r>
              <w:rPr>
                <w:b/>
                <w:color w:val="000000"/>
              </w:rPr>
              <w:t>Валюта, у якій повинна бути зазначена ціна тендерної пропозиції</w:t>
            </w:r>
            <w:r>
              <w:rPr/>
              <w:t xml:space="preserve"> </w:t>
            </w:r>
          </w:p>
        </w:tc>
        <w:tc>
          <w:tcPr>
            <w:tcW w:w="6255" w:type="dxa"/>
            <w:tcBorders>
              <w:top w:val="single" w:sz="4" w:space="0" w:color="000000"/>
              <w:bottom w:val="single" w:sz="4" w:space="0" w:color="000000"/>
              <w:right w:val="single" w:sz="4" w:space="0" w:color="000000"/>
            </w:tcBorders>
          </w:tcPr>
          <w:p>
            <w:pPr>
              <w:pStyle w:val="Normal"/>
              <w:widowControl w:val="false"/>
              <w:ind w:left="-108" w:right="140" w:hanging="0"/>
              <w:jc w:val="both"/>
              <w:rPr/>
            </w:pPr>
            <w:r>
              <w:rPr>
                <w:color w:val="000000"/>
              </w:rPr>
              <w:t>Валютою тендерної пропозиції є гривня.</w:t>
            </w:r>
            <w:r>
              <w:rP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rPr/>
              <w:t>у</w:t>
            </w:r>
            <w:r>
              <w:rPr>
                <w:color w:val="000000"/>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7</w:t>
            </w:r>
          </w:p>
        </w:tc>
        <w:tc>
          <w:tcPr>
            <w:tcW w:w="3000" w:type="dxa"/>
            <w:tcBorders>
              <w:top w:val="single" w:sz="4" w:space="0" w:color="000000"/>
              <w:bottom w:val="single" w:sz="4" w:space="0" w:color="000000"/>
            </w:tcBorders>
          </w:tcPr>
          <w:p>
            <w:pPr>
              <w:pStyle w:val="Normal"/>
              <w:widowControl w:val="false"/>
              <w:rPr/>
            </w:pPr>
            <w:r>
              <w:rPr>
                <w:b/>
                <w:color w:val="000000"/>
              </w:rPr>
              <w:t>Мова (мови), якою  (якими) повинні бути  складені тендерні пропозиції</w:t>
            </w:r>
          </w:p>
        </w:tc>
        <w:tc>
          <w:tcPr>
            <w:tcW w:w="6255" w:type="dxa"/>
            <w:tcBorders>
              <w:top w:val="single" w:sz="4" w:space="0" w:color="000000"/>
              <w:bottom w:val="single" w:sz="4" w:space="0" w:color="000000"/>
              <w:right w:val="single" w:sz="4"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 </w:t>
            </w:r>
          </w:p>
          <w:p>
            <w:pPr>
              <w:pStyle w:val="Normal"/>
              <w:widowControl w:val="false"/>
              <w:jc w:val="both"/>
              <w:rPr/>
            </w:pPr>
            <w:r>
              <w:rPr>
                <w:color w:val="000000"/>
              </w:rPr>
              <w:t xml:space="preserve">2.  </w:t>
            </w:r>
            <w:r>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pPr>
            <w:r>
              <w:rPr>
                <w:b/>
                <w:color w:val="000000"/>
              </w:rPr>
              <w:t xml:space="preserve">Розділ 2. Порядок </w:t>
            </w:r>
            <w:r>
              <w:rPr>
                <w:b/>
              </w:rPr>
              <w:t>в</w:t>
            </w:r>
            <w:r>
              <w:rPr>
                <w:b/>
                <w:color w:val="000000"/>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t>1</w:t>
            </w:r>
          </w:p>
        </w:tc>
        <w:tc>
          <w:tcPr>
            <w:tcW w:w="3000" w:type="dxa"/>
            <w:tcBorders>
              <w:top w:val="single" w:sz="4" w:space="0" w:color="000000"/>
              <w:bottom w:val="single" w:sz="4" w:space="0" w:color="000000"/>
            </w:tcBorders>
          </w:tcPr>
          <w:p>
            <w:pPr>
              <w:pStyle w:val="Normal"/>
              <w:widowControl w:val="false"/>
              <w:rPr>
                <w:b/>
                <w:b/>
              </w:rPr>
            </w:pPr>
            <w:r>
              <w:rPr>
                <w:b/>
              </w:rPr>
              <w:t>Процедура надання роз’яснень щодо тендерної документації</w:t>
            </w:r>
          </w:p>
        </w:tc>
        <w:tc>
          <w:tcPr>
            <w:tcW w:w="6255" w:type="dxa"/>
            <w:tcBorders>
              <w:top w:val="single" w:sz="4" w:space="0" w:color="000000"/>
              <w:bottom w:val="single" w:sz="4" w:space="0" w:color="000000"/>
              <w:right w:val="single" w:sz="4" w:space="0" w:color="000000"/>
            </w:tcBorders>
          </w:tcPr>
          <w:p>
            <w:pPr>
              <w:pStyle w:val="Normal"/>
              <w:widowControl w:val="false"/>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jc w:val="both"/>
              <w:rPr>
                <w:i/>
                <w:i/>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pPr>
            <w:r>
              <w:rPr>
                <w:b/>
                <w:color w:val="000000"/>
              </w:rPr>
              <w:t>Внесення змін до тендерної документації</w:t>
            </w:r>
          </w:p>
        </w:tc>
        <w:tc>
          <w:tcPr>
            <w:tcW w:w="6255" w:type="dxa"/>
            <w:tcBorders>
              <w:top w:val="single" w:sz="4" w:space="0" w:color="000000"/>
              <w:bottom w:val="single" w:sz="4" w:space="0" w:color="000000"/>
              <w:right w:val="single" w:sz="4" w:space="0" w:color="000000"/>
            </w:tcBorders>
          </w:tcPr>
          <w:p>
            <w:pPr>
              <w:pStyle w:val="Normal"/>
              <w:widowControl w:val="false"/>
              <w:spacing w:before="120" w:after="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highlight w:val="white"/>
              </w:rPr>
              <w:instrText> HYPERLINK "https://zakon.rada.gov.ua/laws/show/922-19" \l "n960"</w:instrText>
            </w:r>
            <w:r>
              <w:rPr>
                <w:highlight w:val="white"/>
              </w:rPr>
              <w:fldChar w:fldCharType="separate"/>
            </w:r>
            <w:r>
              <w:rPr>
                <w:highlight w:val="white"/>
              </w:rPr>
              <w:t>статті 8</w:t>
            </w:r>
            <w:r>
              <w:rPr>
                <w:highlight w:val="white"/>
              </w:rPr>
              <w:fldChar w:fldCharType="end"/>
            </w:r>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i/>
                <w:iCs/>
                <w:highlight w:val="white"/>
                <w:u w:val="single"/>
              </w:rPr>
              <w:t>не менше чотирьох днів</w:t>
            </w:r>
            <w:r>
              <w:rPr>
                <w:highlight w:val="white"/>
              </w:rPr>
              <w:t>.</w:t>
            </w:r>
          </w:p>
          <w:p>
            <w:pPr>
              <w:pStyle w:val="Normal"/>
              <w:widowControl w:val="false"/>
              <w:jc w:val="both"/>
              <w:rPr>
                <w:highlight w:val="white"/>
              </w:rPr>
            </w:pPr>
            <w:r>
              <w:rPr/>
              <w:t xml:space="preserve">Зміни, що вносяться замовником до тендерної документації, розміщуються та відображаються в електронній системі закупівель </w:t>
            </w:r>
            <w:r>
              <w:rPr>
                <w:bCs/>
                <w:i/>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pPr>
            <w:r>
              <w:rPr>
                <w:b/>
                <w:color w:val="000000"/>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b/>
                <w:color w:val="000000"/>
              </w:rPr>
              <w:t>1</w:t>
            </w:r>
          </w:p>
        </w:tc>
        <w:tc>
          <w:tcPr>
            <w:tcW w:w="3000" w:type="dxa"/>
            <w:tcBorders>
              <w:top w:val="single" w:sz="4" w:space="0" w:color="000000"/>
              <w:bottom w:val="single" w:sz="4" w:space="0" w:color="000000"/>
            </w:tcBorders>
          </w:tcPr>
          <w:p>
            <w:pPr>
              <w:pStyle w:val="Normal"/>
              <w:widowControl w:val="false"/>
              <w:rPr/>
            </w:pPr>
            <w:r>
              <w:rPr>
                <w:b/>
                <w:color w:val="000000"/>
              </w:rPr>
              <w:t>Зміст і спосіб подання тендерної пропозиції</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pPr>
            <w:r>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pStyle w:val="Normal"/>
              <w:widowControl w:val="false"/>
              <w:jc w:val="both"/>
              <w:rPr/>
            </w:pPr>
            <w:r>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instrText> HYPERLINK "https://zakon.rada.gov.ua/laws/show/922-19" \l "n1261"</w:instrText>
            </w:r>
            <w:r>
              <w:rPr/>
              <w:fldChar w:fldCharType="separate"/>
            </w:r>
            <w:r>
              <w:rPr/>
              <w:t>пункті 47</w:t>
            </w:r>
            <w:r>
              <w:rPr/>
              <w:fldChar w:fldCharType="end"/>
            </w:r>
            <w:r>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pPr>
            <w:r>
              <w:rPr/>
              <w:t xml:space="preserve">інформацією, що підтверджує відповідність учасника кваліфікаційним (кваліфікаційному) критеріям – </w:t>
            </w:r>
            <w:r>
              <w:rPr>
                <w:b/>
                <w:i/>
              </w:rPr>
              <w:t>згідно</w:t>
            </w:r>
            <w:r>
              <w:rPr/>
              <w:t xml:space="preserve"> з </w:t>
            </w:r>
            <w:r>
              <w:rPr>
                <w:b/>
                <w:i/>
              </w:rPr>
              <w:t>Додатком 1</w:t>
            </w:r>
            <w:r>
              <w:rPr/>
              <w:t xml:space="preserve"> до цієї тендерної документації;</w:t>
            </w:r>
          </w:p>
          <w:p>
            <w:pPr>
              <w:pStyle w:val="Normal"/>
              <w:widowControl w:val="false"/>
              <w:numPr>
                <w:ilvl w:val="0"/>
                <w:numId w:val="1"/>
              </w:numPr>
              <w:jc w:val="both"/>
              <w:rPr/>
            </w:pPr>
            <w:r>
              <w:rPr/>
              <w:t xml:space="preserve">інформацією щодо відсутності підстав, установлених в пункті 47 Особливостей, – </w:t>
            </w:r>
            <w:r>
              <w:rPr>
                <w:b/>
                <w:i/>
              </w:rPr>
              <w:t>згідно з Додатком 1</w:t>
            </w:r>
            <w:r>
              <w:rPr/>
              <w:t xml:space="preserve"> до цієї тендерної документації;</w:t>
            </w:r>
          </w:p>
          <w:p>
            <w:pPr>
              <w:pStyle w:val="Normal"/>
              <w:widowControl w:val="false"/>
              <w:numPr>
                <w:ilvl w:val="0"/>
                <w:numId w:val="1"/>
              </w:numPr>
              <w:jc w:val="both"/>
              <w:rPr/>
            </w:pPr>
            <w:r>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instrText> HYPERLINK "https://zakon.rada.gov.ua/laws/show/1178-2022-п" \l "n159"</w:instrText>
            </w:r>
            <w:r>
              <w:rPr/>
              <w:fldChar w:fldCharType="separate"/>
            </w:r>
            <w:r>
              <w:rPr/>
              <w:t>47</w:t>
            </w:r>
            <w:r>
              <w:rPr/>
              <w:fldChar w:fldCharType="end"/>
            </w:r>
            <w:r>
              <w:rPr/>
              <w:t xml:space="preserve">  Особливостей, - згідно з </w:t>
            </w:r>
            <w:r>
              <w:rPr>
                <w:b/>
                <w:i/>
              </w:rPr>
              <w:t xml:space="preserve">Додатком 1 </w:t>
            </w:r>
            <w:r>
              <w:rPr/>
              <w:t>до цієї тендерної документації</w:t>
            </w:r>
            <w:r>
              <w:rPr>
                <w:color w:val="00B050"/>
              </w:rPr>
              <w:t>;</w:t>
            </w:r>
          </w:p>
          <w:p>
            <w:pPr>
              <w:pStyle w:val="Normal"/>
              <w:widowControl w:val="false"/>
              <w:numPr>
                <w:ilvl w:val="0"/>
                <w:numId w:val="1"/>
              </w:numPr>
              <w:jc w:val="both"/>
              <w:rPr/>
            </w:pPr>
            <w:r>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pPr>
            <w:r>
              <w:rPr/>
              <w:t>іншою інформацією та документами, відповідно до вимог цієї тендерної документації та додатків до неї.</w:t>
            </w:r>
          </w:p>
          <w:p>
            <w:pPr>
              <w:pStyle w:val="Normal"/>
              <w:widowControl w:val="false"/>
              <w:jc w:val="both"/>
              <w:rPr/>
            </w:pPr>
            <w:r>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pPr>
            <w:r>
              <w:rPr>
                <w:b/>
                <w:bCs/>
              </w:rPr>
              <w:t>Переможець процедури</w:t>
            </w:r>
            <w:r>
              <w:rPr/>
              <w:t xml:space="preserve"> закупівлі у строк, що </w:t>
            </w:r>
            <w:r>
              <w:rPr>
                <w:i/>
                <w:iCs/>
                <w:u w:val="single"/>
              </w:rPr>
              <w:t>не перевищує чотири дні</w:t>
            </w:r>
            <w:r>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b/>
                <w:bCs/>
              </w:rPr>
              <w:t>3, 5, 6 і 12</w:t>
            </w:r>
            <w:r>
              <w:rPr/>
              <w:t xml:space="preserve"> </w:t>
            </w:r>
            <w:r>
              <w:rPr>
                <w:b/>
                <w:bCs/>
              </w:rPr>
              <w:t>та в абзаці чотирнадцятому</w:t>
            </w:r>
            <w:r>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jc w:val="both"/>
              <w:rPr/>
            </w:pPr>
            <w:r>
              <w:rPr/>
              <w:t>Вимоги встановлені в Додатку 1 (для переможця).</w:t>
            </w:r>
          </w:p>
          <w:p>
            <w:pPr>
              <w:pStyle w:val="Normal"/>
              <w:widowControl w:val="false"/>
              <w:jc w:val="both"/>
              <w:rPr>
                <w:b/>
                <w:b/>
                <w:i/>
                <w:i/>
              </w:rPr>
            </w:pPr>
            <w:r>
              <w:rPr>
                <w:b/>
                <w:i/>
              </w:rPr>
              <w:t>Опис та приклади формальних несуттєвих помилок.</w:t>
            </w:r>
          </w:p>
          <w:p>
            <w:pPr>
              <w:pStyle w:val="Normal"/>
              <w:widowControl w:val="false"/>
              <w:jc w:val="both"/>
              <w:rPr/>
            </w:pPr>
            <w:r>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pPr>
            <w:r>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b/>
                <w:b/>
                <w:i/>
                <w:i/>
                <w:u w:val="single"/>
              </w:rPr>
            </w:pPr>
            <w:r>
              <w:rPr>
                <w:b/>
                <w:i/>
                <w:u w:val="single"/>
              </w:rPr>
              <w:t>Опис формальних помилок:</w:t>
            </w:r>
          </w:p>
          <w:p>
            <w:pPr>
              <w:pStyle w:val="Normal"/>
              <w:widowControl w:val="false"/>
              <w:jc w:val="both"/>
              <w:rPr/>
            </w:pPr>
            <w:r>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pPr>
            <w:r>
              <w:rPr/>
              <w:t>—</w:t>
            </w:r>
            <w:r>
              <w:rPr/>
              <w:tab/>
              <w:t>уживання великої літери;</w:t>
            </w:r>
          </w:p>
          <w:p>
            <w:pPr>
              <w:pStyle w:val="Normal"/>
              <w:widowControl w:val="false"/>
              <w:jc w:val="both"/>
              <w:rPr/>
            </w:pPr>
            <w:r>
              <w:rPr/>
              <w:t>—</w:t>
            </w:r>
            <w:r>
              <w:rPr/>
              <w:tab/>
              <w:t>уживання розділових знаків та відмінювання слів у реченні;</w:t>
            </w:r>
          </w:p>
          <w:p>
            <w:pPr>
              <w:pStyle w:val="Normal"/>
              <w:widowControl w:val="false"/>
              <w:jc w:val="both"/>
              <w:rPr/>
            </w:pPr>
            <w:r>
              <w:rPr/>
              <w:t>—</w:t>
            </w:r>
            <w:r>
              <w:rPr/>
              <w:tab/>
              <w:t>використання слова або мовного звороту, запозичених з іншої мови;</w:t>
            </w:r>
          </w:p>
          <w:p>
            <w:pPr>
              <w:pStyle w:val="Normal"/>
              <w:widowControl w:val="false"/>
              <w:jc w:val="both"/>
              <w:rPr/>
            </w:pPr>
            <w:r>
              <w:rPr/>
              <w:t>—</w:t>
            </w:r>
            <w:r>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pPr>
            <w:r>
              <w:rPr/>
              <w:t>—</w:t>
            </w:r>
            <w:r>
              <w:rPr/>
              <w:tab/>
              <w:t>застосування правил переносу частини слова з рядка в рядок;</w:t>
            </w:r>
          </w:p>
          <w:p>
            <w:pPr>
              <w:pStyle w:val="Normal"/>
              <w:widowControl w:val="false"/>
              <w:jc w:val="both"/>
              <w:rPr/>
            </w:pPr>
            <w:r>
              <w:rPr/>
              <w:t>—</w:t>
            </w:r>
            <w:r>
              <w:rPr/>
              <w:tab/>
              <w:t>написання слів разом та/або окремо, та/або через дефіс;</w:t>
            </w:r>
          </w:p>
          <w:p>
            <w:pPr>
              <w:pStyle w:val="Normal"/>
              <w:widowControl w:val="false"/>
              <w:jc w:val="both"/>
              <w:rPr/>
            </w:pPr>
            <w:r>
              <w:rPr/>
              <w:t xml:space="preserve">—  </w:t>
            </w:r>
            <w:r>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pPr>
            <w:r>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pPr>
            <w:r>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pPr>
            <w:r>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pPr>
            <w:r>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pPr>
            <w:r>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pPr>
            <w:r>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pPr>
            <w:r>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pPr>
            <w:r>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pPr>
            <w:r>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pPr>
            <w:r>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pPr>
            <w:r>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b/>
                <w:b/>
                <w:i/>
                <w:i/>
                <w:u w:val="single"/>
              </w:rPr>
            </w:pPr>
            <w:r>
              <w:rPr>
                <w:b/>
                <w:i/>
                <w:u w:val="single"/>
              </w:rPr>
              <w:t>Приклади формальних помилок:</w:t>
            </w:r>
          </w:p>
          <w:p>
            <w:pPr>
              <w:pStyle w:val="Normal"/>
              <w:widowControl w:val="false"/>
              <w:jc w:val="both"/>
              <w:rPr/>
            </w:pPr>
            <w:r>
              <w:rPr/>
              <w:t xml:space="preserve">— </w:t>
            </w:r>
            <w:r>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pPr>
            <w:r>
              <w:rPr/>
              <w:t xml:space="preserve">—  </w:t>
            </w:r>
            <w:r>
              <w:rPr/>
              <w:t>«м.київ» замість «м.Київ»;</w:t>
            </w:r>
          </w:p>
          <w:p>
            <w:pPr>
              <w:pStyle w:val="Normal"/>
              <w:widowControl w:val="false"/>
              <w:jc w:val="both"/>
              <w:rPr/>
            </w:pPr>
            <w:r>
              <w:rPr/>
              <w:t xml:space="preserve">— </w:t>
            </w:r>
            <w:r>
              <w:rPr/>
              <w:t>«поряд -ок» замість «поря – док»;</w:t>
            </w:r>
          </w:p>
          <w:p>
            <w:pPr>
              <w:pStyle w:val="Normal"/>
              <w:widowControl w:val="false"/>
              <w:jc w:val="both"/>
              <w:rPr/>
            </w:pPr>
            <w:r>
              <w:rPr/>
              <w:t xml:space="preserve">— </w:t>
            </w:r>
            <w:r>
              <w:rPr/>
              <w:t>«ненадається» замість «не надається»»;</w:t>
            </w:r>
          </w:p>
          <w:p>
            <w:pPr>
              <w:pStyle w:val="Normal"/>
              <w:widowControl w:val="false"/>
              <w:jc w:val="both"/>
              <w:rPr/>
            </w:pPr>
            <w:r>
              <w:rPr/>
              <w:t xml:space="preserve">— </w:t>
            </w:r>
            <w:r>
              <w:rPr/>
              <w:t>«______________№_____________» замість «14.08.2020 №320/13/14-01»</w:t>
            </w:r>
          </w:p>
          <w:p>
            <w:pPr>
              <w:pStyle w:val="Normal"/>
              <w:widowControl w:val="false"/>
              <w:jc w:val="both"/>
              <w:rPr/>
            </w:pPr>
            <w:r>
              <w:rPr/>
              <w:t xml:space="preserve">— </w:t>
            </w:r>
            <w:r>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b/>
                <w:b/>
                <w:color w:val="000000"/>
              </w:rPr>
            </w:pPr>
            <w:r>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формуванні ціни пропозиції повинні враховувати вимоги </w:t>
            </w:r>
            <w:r>
              <w:rPr>
                <w:b/>
              </w:rPr>
              <w:t>п</w:t>
            </w:r>
            <w:r>
              <w:rPr>
                <w:b/>
                <w:color w:val="000000"/>
              </w:rPr>
              <w:t>останови Кабінету Міністрів України № 332 від 04.04.2001 р.</w:t>
            </w:r>
          </w:p>
          <w:p>
            <w:pPr>
              <w:pStyle w:val="Normal"/>
              <w:widowControl w:val="false"/>
              <w:ind w:left="40" w:hanging="20"/>
              <w:jc w:val="both"/>
              <w:rPr>
                <w:color w:val="000000"/>
              </w:rPr>
            </w:pPr>
            <w:r>
              <w:rPr>
                <w:color w:val="000000"/>
              </w:rPr>
              <w:t xml:space="preserve">Документи, що не передбачені законодавством для учасників </w:t>
            </w:r>
            <w:r>
              <w:rPr/>
              <w:t>—</w:t>
            </w:r>
            <w:r>
              <w:rPr>
                <w:color w:val="000000"/>
              </w:rPr>
              <w:t xml:space="preserve"> юридичних, фізичних осіб, у тому числі фізичних осіб </w:t>
            </w:r>
            <w:r>
              <w:rP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t>—</w:t>
            </w:r>
            <w:r>
              <w:rPr>
                <w:color w:val="000000"/>
              </w:rPr>
              <w:t xml:space="preserve"> юридичних, фізичних осіб, у тому числі фізичних осіб </w:t>
            </w:r>
            <w:r>
              <w:rPr/>
              <w:t>—</w:t>
            </w:r>
            <w:r>
              <w:rPr>
                <w:color w:val="000000"/>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b/>
                <w:b/>
                <w:color w:val="000000"/>
              </w:rPr>
            </w:pPr>
            <w:r>
              <w:rPr>
                <w:b/>
                <w:color w:val="000000"/>
              </w:rPr>
              <w:t>УВАГА!!!</w:t>
            </w:r>
          </w:p>
          <w:p>
            <w:pPr>
              <w:pStyle w:val="Normal"/>
              <w:widowControl w:val="false"/>
              <w:jc w:val="both"/>
              <w:rPr>
                <w:bCs/>
                <w:color w:val="000000"/>
              </w:rPr>
            </w:pPr>
            <w:bookmarkStart w:id="1" w:name="_heading=h.3znysh7"/>
            <w:bookmarkEnd w:id="1"/>
            <w:r>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bCs/>
                <w:color w:val="000000"/>
              </w:rPr>
            </w:pPr>
            <w:r>
              <w:rPr>
                <w:bCs/>
                <w:color w:val="000000"/>
              </w:rPr>
              <w:t>1) документи мають бути чіткими та розбірливими для читання;</w:t>
            </w:r>
          </w:p>
          <w:p>
            <w:pPr>
              <w:pStyle w:val="Normal"/>
              <w:widowControl w:val="false"/>
              <w:jc w:val="both"/>
              <w:rPr>
                <w:bCs/>
                <w:color w:val="000000"/>
              </w:rPr>
            </w:pPr>
            <w:r>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Pr>
                <w:bCs/>
              </w:rPr>
              <w:t>сом (УЕП)</w:t>
            </w:r>
            <w:r>
              <w:rPr>
                <w:bCs/>
                <w:color w:val="000000"/>
              </w:rPr>
              <w:t>;</w:t>
            </w:r>
          </w:p>
          <w:p>
            <w:pPr>
              <w:pStyle w:val="Normal"/>
              <w:widowControl w:val="false"/>
              <w:jc w:val="both"/>
              <w:rPr>
                <w:bCs/>
                <w:color w:val="000000"/>
              </w:rPr>
            </w:pPr>
            <w:r>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bCs/>
                <w:color w:val="000000"/>
              </w:rPr>
            </w:pPr>
            <w:r>
              <w:rPr>
                <w:bCs/>
                <w:color w:val="000000"/>
              </w:rPr>
              <w:t>Винятки:</w:t>
            </w:r>
          </w:p>
          <w:p>
            <w:pPr>
              <w:pStyle w:val="Normal"/>
              <w:widowControl w:val="false"/>
              <w:jc w:val="both"/>
              <w:rPr>
                <w:bCs/>
                <w:color w:val="000000"/>
              </w:rPr>
            </w:pPr>
            <w:r>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bCs/>
                <w:color w:val="000000"/>
              </w:rPr>
            </w:pPr>
            <w:r>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bCs/>
              </w:rPr>
            </w:pPr>
            <w:r>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bCs/>
                <w:color w:val="000000"/>
              </w:rPr>
            </w:pPr>
            <w:r>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color w:val="0D0D0D"/>
              </w:rPr>
            </w:pPr>
            <w:bookmarkStart w:id="2" w:name="_heading=h.2et92p0"/>
            <w:bookmarkEnd w:id="2"/>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pPr>
              <w:pStyle w:val="Normal"/>
              <w:widowControl w:val="false"/>
              <w:jc w:val="both"/>
              <w:rPr/>
            </w:pPr>
            <w:bookmarkStart w:id="3" w:name="_heading=h.hjqm8skarbdr"/>
            <w:bookmarkEnd w:id="3"/>
            <w:r>
              <w:rPr/>
              <w:t xml:space="preserve">Тендерні пропозиції мають право подавати всі заінтересовані особи. </w:t>
            </w:r>
          </w:p>
          <w:p>
            <w:pPr>
              <w:pStyle w:val="Normal"/>
              <w:widowControl w:val="false"/>
              <w:jc w:val="both"/>
              <w:rPr/>
            </w:pPr>
            <w:bookmarkStart w:id="4" w:name="_heading=h.ftj7vaqoric"/>
            <w:bookmarkEnd w:id="4"/>
            <w:r>
              <w:rPr/>
              <w:t>Кожен учасник має право подати тільки одну тендерну пропозицію</w:t>
            </w:r>
            <w:r>
              <w:rPr>
                <w:b/>
              </w:rPr>
              <w:t xml:space="preserve"> </w:t>
            </w:r>
            <w:r>
              <w:rPr/>
              <w:t xml:space="preserve">(у тому числі до визначеної в тендерній документації частини предмета закупівлі (лота) </w:t>
            </w:r>
            <w:r>
              <w:rPr>
                <w:i/>
              </w:rPr>
              <w:t>(у разі здійснення закупівлі за лотами)</w:t>
            </w:r>
            <w:r>
              <w:rPr/>
              <w:t xml:space="preserve">. </w:t>
            </w:r>
          </w:p>
        </w:tc>
      </w:tr>
      <w:tr>
        <w:trPr>
          <w:trHeight w:val="913"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pPr>
            <w:bookmarkStart w:id="5" w:name="_heading=h.tyjcwt"/>
            <w:bookmarkEnd w:id="5"/>
            <w:r>
              <w:rPr>
                <w:b/>
                <w:color w:val="000000"/>
              </w:rPr>
              <w:t>Забезпечення тендерної пропозиції</w:t>
            </w:r>
          </w:p>
        </w:tc>
        <w:tc>
          <w:tcPr>
            <w:tcW w:w="6255" w:type="dxa"/>
            <w:tcBorders>
              <w:top w:val="single" w:sz="4" w:space="0" w:color="000000"/>
              <w:bottom w:val="single" w:sz="4" w:space="0" w:color="000000"/>
              <w:right w:val="single" w:sz="4" w:space="0" w:color="000000"/>
            </w:tcBorders>
            <w:shd w:color="auto" w:fill="auto" w:val="clear"/>
            <w:vAlign w:val="center"/>
          </w:tcPr>
          <w:p>
            <w:pPr>
              <w:pStyle w:val="Normal"/>
              <w:widowControl w:val="false"/>
              <w:pBdr/>
              <w:jc w:val="both"/>
              <w:rPr>
                <w:color w:val="00B050"/>
              </w:rPr>
            </w:pPr>
            <w:r>
              <w:rPr/>
              <w:t>не вимагається</w:t>
            </w:r>
          </w:p>
          <w:p>
            <w:pPr>
              <w:pStyle w:val="Normal"/>
              <w:widowControl w:val="false"/>
              <w:jc w:val="both"/>
              <w:textAlignment w:val="baseline"/>
              <w:rPr>
                <w:color w:val="00B050"/>
              </w:rPr>
            </w:pPr>
            <w:r>
              <w:rPr>
                <w:color w:val="00B050"/>
              </w:rPr>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3</w:t>
            </w:r>
          </w:p>
        </w:tc>
        <w:tc>
          <w:tcPr>
            <w:tcW w:w="3000" w:type="dxa"/>
            <w:tcBorders>
              <w:top w:val="single" w:sz="4" w:space="0" w:color="000000"/>
              <w:bottom w:val="single" w:sz="4" w:space="0" w:color="000000"/>
            </w:tcBorders>
          </w:tcPr>
          <w:p>
            <w:pPr>
              <w:pStyle w:val="Normal"/>
              <w:widowControl w:val="false"/>
              <w:rPr/>
            </w:pPr>
            <w:r>
              <w:rPr>
                <w:b/>
                <w:color w:val="000000"/>
              </w:rPr>
              <w:t>Умови повернення чи неповернення забезпечення тендерної пропозиції</w:t>
            </w:r>
          </w:p>
        </w:tc>
        <w:tc>
          <w:tcPr>
            <w:tcW w:w="6255" w:type="dxa"/>
            <w:tcBorders>
              <w:top w:val="single" w:sz="4" w:space="0" w:color="000000"/>
              <w:bottom w:val="single" w:sz="4" w:space="0" w:color="000000"/>
              <w:right w:val="single" w:sz="4" w:space="0" w:color="000000"/>
            </w:tcBorders>
            <w:vAlign w:val="center"/>
          </w:tcPr>
          <w:p>
            <w:pPr>
              <w:pStyle w:val="Normal"/>
              <w:widowControl w:val="false"/>
              <w:spacing w:before="150" w:after="150"/>
              <w:jc w:val="both"/>
              <w:rPr/>
            </w:pPr>
            <w:r>
              <w:rPr/>
              <w:t>не передбачено</w:t>
            </w:r>
          </w:p>
        </w:tc>
      </w:tr>
      <w:tr>
        <w:trPr>
          <w:trHeight w:val="560"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w:t>
            </w:r>
          </w:p>
        </w:tc>
        <w:tc>
          <w:tcPr>
            <w:tcW w:w="3000" w:type="dxa"/>
            <w:tcBorders>
              <w:top w:val="single" w:sz="4" w:space="0" w:color="000000"/>
              <w:bottom w:val="single" w:sz="4" w:space="0" w:color="000000"/>
            </w:tcBorders>
          </w:tcPr>
          <w:p>
            <w:pPr>
              <w:pStyle w:val="Normal"/>
              <w:widowControl w:val="false"/>
              <w:rPr/>
            </w:pPr>
            <w:r>
              <w:rPr>
                <w:b/>
                <w:color w:val="000000"/>
              </w:rPr>
              <w:t>Строк, протягом якого тендерні пропозиції є дійсними</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 </w:t>
            </w:r>
          </w:p>
          <w:p>
            <w:pPr>
              <w:pStyle w:val="Normal"/>
              <w:widowControl w:val="false"/>
              <w:jc w:val="both"/>
              <w:rPr/>
            </w:pPr>
            <w:r>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u w:val="single"/>
              </w:rPr>
            </w:pPr>
            <w:r>
              <w:rPr/>
              <w:t xml:space="preserve">Учасник процедури закупівлі </w:t>
            </w:r>
            <w:r>
              <w:rPr>
                <w:u w:val="single"/>
              </w:rPr>
              <w:t>має право:</w:t>
            </w:r>
          </w:p>
          <w:p>
            <w:pPr>
              <w:pStyle w:val="Normal"/>
              <w:widowControl w:val="false"/>
              <w:jc w:val="both"/>
              <w:rPr/>
            </w:pPr>
            <w:r>
              <w:rPr/>
              <w:t>відхилити таку вимогу, не втрачаючи при цьому наданого ним забезпечення тендерної пропозиції;</w:t>
            </w:r>
          </w:p>
          <w:p>
            <w:pPr>
              <w:pStyle w:val="Normal"/>
              <w:widowControl w:val="false"/>
              <w:jc w:val="both"/>
              <w:rPr/>
            </w:pPr>
            <w:r>
              <w:rP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rPr/>
              <w:t>.</w:t>
            </w:r>
          </w:p>
          <w:p>
            <w:pPr>
              <w:pStyle w:val="Normal"/>
              <w:widowControl w:val="false"/>
              <w:jc w:val="both"/>
              <w:rPr>
                <w:strike/>
              </w:rPr>
            </w:pPr>
            <w:r>
              <w:rPr/>
              <w:t xml:space="preserve">У разі необхідності учасник процедури закупівлі </w:t>
            </w:r>
            <w:r>
              <w:rPr>
                <w:i/>
                <w:iCs/>
              </w:rPr>
              <w:t>має право з власної ініціативи продовжити строк дії своєї тендерної пропозиції,</w:t>
            </w:r>
            <w:r>
              <w:rPr/>
              <w:t xml:space="preserve">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5</w:t>
            </w:r>
          </w:p>
        </w:tc>
        <w:tc>
          <w:tcPr>
            <w:tcW w:w="3000" w:type="dxa"/>
            <w:tcBorders>
              <w:top w:val="single" w:sz="4" w:space="0" w:color="000000"/>
              <w:bottom w:val="single" w:sz="4" w:space="0" w:color="000000"/>
            </w:tcBorders>
          </w:tcPr>
          <w:p>
            <w:pPr>
              <w:pStyle w:val="Normal"/>
              <w:widowControl w:val="false"/>
              <w:rPr/>
            </w:pPr>
            <w:r>
              <w:rPr>
                <w:b/>
                <w:color w:val="000000"/>
              </w:rPr>
              <w:t>Кваліфікаційні критерії до учасників та вимоги</w:t>
            </w:r>
            <w:r>
              <w:rPr>
                <w:b/>
              </w:rPr>
              <w:t xml:space="preserve">, відповідно до статті 16 Закону, згідно  з пунктом 28  та пунктом </w:t>
            </w:r>
            <w:r>
              <w:rPr>
                <w:b/>
                <w:highlight w:val="white"/>
              </w:rPr>
              <w:t xml:space="preserve">47 </w:t>
            </w:r>
            <w:r>
              <w:rPr>
                <w:b/>
              </w:rPr>
              <w:t xml:space="preserve"> Особливостей</w:t>
            </w:r>
          </w:p>
        </w:tc>
        <w:tc>
          <w:tcPr>
            <w:tcW w:w="6255" w:type="dxa"/>
            <w:tcBorders>
              <w:top w:val="single" w:sz="4" w:space="0" w:color="000000"/>
              <w:bottom w:val="single" w:sz="4" w:space="0" w:color="000000"/>
              <w:right w:val="single" w:sz="4" w:space="0" w:color="000000"/>
            </w:tcBorders>
            <w:vAlign w:val="center"/>
          </w:tcPr>
          <w:p>
            <w:pPr>
              <w:pStyle w:val="Normal"/>
              <w:widowControl w:val="false"/>
              <w:ind w:right="120" w:hanging="0"/>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rPr/>
              <w:t xml:space="preserve">до цієї тендерної документації. </w:t>
            </w:r>
          </w:p>
          <w:p>
            <w:pPr>
              <w:pStyle w:val="Normal"/>
              <w:widowControl w:val="false"/>
              <w:ind w:right="120" w:hanging="0"/>
              <w:jc w:val="both"/>
              <w:rPr/>
            </w:pPr>
            <w:r>
              <w:rPr/>
              <w:t>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rPr/>
              <w:t xml:space="preserve"> до цієї тендерної документації. </w:t>
            </w:r>
          </w:p>
          <w:p>
            <w:pPr>
              <w:pStyle w:val="Normal"/>
              <w:widowControl w:val="false"/>
              <w:ind w:right="120" w:hanging="0"/>
              <w:jc w:val="both"/>
              <w:rPr>
                <w:b/>
                <w:b/>
              </w:rPr>
            </w:pPr>
            <w:r>
              <w:rPr>
                <w:b/>
              </w:rPr>
              <w:t xml:space="preserve">Підстави, визначені пунктом </w:t>
            </w:r>
            <w:r>
              <w:rPr>
                <w:b/>
                <w:highlight w:val="white"/>
              </w:rPr>
              <w:t xml:space="preserve">47 </w:t>
            </w:r>
            <w:r>
              <w:rPr>
                <w:b/>
              </w:rPr>
              <w:t>Особливостей.</w:t>
            </w:r>
          </w:p>
          <w:p>
            <w:pPr>
              <w:pStyle w:val="Normal"/>
              <w:widowControl w:val="false"/>
              <w:pBdr/>
              <w:jc w:val="both"/>
              <w:rPr/>
            </w:pPr>
            <w:r>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pPr>
            <w:r>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pPr>
            <w:r>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pPr>
            <w:r>
              <w:rPr>
                <w:color w:val="000000"/>
                <w:sz w:val="28"/>
                <w:szCs w:val="28"/>
              </w:rPr>
              <w:t>3</w:t>
            </w:r>
            <w:r>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instrText> HYPERLINK "https://zakon.rada.gov.ua/laws/show/2210-14" \l "n52"</w:instrText>
            </w:r>
            <w:r>
              <w:rPr/>
              <w:fldChar w:fldCharType="separate"/>
            </w:r>
            <w:r>
              <w:rPr/>
              <w:t>пунктом 4</w:t>
            </w:r>
            <w:r>
              <w:rPr/>
              <w:fldChar w:fldCharType="end"/>
            </w:r>
            <w:r>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pPr>
            <w:r>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pPr>
            <w:r>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pPr>
            <w:r>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pPr>
            <w:r>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pPr>
            <w:r>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pPr>
            <w:r>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highlight w:val="white"/>
              </w:rPr>
            </w:pPr>
            <w:r>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highlight w:val="white"/>
              </w:rPr>
            </w:pPr>
            <w:r>
              <w:rPr>
                <w:highlight w:val="white"/>
              </w:rPr>
            </w:r>
          </w:p>
          <w:p>
            <w:pPr>
              <w:pStyle w:val="Normal"/>
              <w:widowControl w:val="false"/>
              <w:jc w:val="both"/>
              <w:rPr>
                <w:highlight w:val="white"/>
              </w:rPr>
            </w:pPr>
            <w:r>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highlight w:val="white"/>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6</w:t>
            </w:r>
          </w:p>
        </w:tc>
        <w:tc>
          <w:tcPr>
            <w:tcW w:w="3000" w:type="dxa"/>
            <w:tcBorders>
              <w:top w:val="single" w:sz="4" w:space="0" w:color="000000"/>
              <w:bottom w:val="single" w:sz="4" w:space="0" w:color="000000"/>
            </w:tcBorders>
          </w:tcPr>
          <w:p>
            <w:pPr>
              <w:pStyle w:val="Normal"/>
              <w:widowControl w:val="false"/>
              <w:rPr/>
            </w:pPr>
            <w:r>
              <w:rPr>
                <w:b/>
                <w:color w:val="000000"/>
              </w:rPr>
              <w:t>Інформація про технічні, якісні та кількісні характеристики предмета закупівлі</w:t>
            </w:r>
          </w:p>
        </w:tc>
        <w:tc>
          <w:tcPr>
            <w:tcW w:w="6255" w:type="dxa"/>
            <w:tcBorders>
              <w:top w:val="single" w:sz="4" w:space="0" w:color="000000"/>
              <w:bottom w:val="single" w:sz="4" w:space="0" w:color="000000"/>
              <w:right w:val="single" w:sz="4" w:space="0" w:color="000000"/>
            </w:tcBorders>
            <w:vAlign w:val="center"/>
          </w:tcPr>
          <w:p>
            <w:pPr>
              <w:pStyle w:val="Normal"/>
              <w:widowControl w:val="false"/>
              <w:ind w:right="120" w:hanging="0"/>
              <w:jc w:val="both"/>
              <w:rPr/>
            </w:pPr>
            <w:r>
              <w:rPr/>
              <w:t>Вимоги до предмета закупівлі (технічні, якісні та кількісні характеристики) згідно з</w:t>
            </w:r>
            <w:hyperlink r:id="rId3">
              <w:r>
                <w:rPr/>
                <w:t xml:space="preserve"> пунктом третім </w:t>
              </w:r>
            </w:hyperlink>
            <w:hyperlink r:id="rId4">
              <w:r>
                <w:rPr>
                  <w:u w:val="single"/>
                </w:rPr>
                <w:t>частини друго</w:t>
              </w:r>
            </w:hyperlink>
            <w:r>
              <w:rPr/>
              <w:t xml:space="preserve">ї статті 22 Закону зазначено в </w:t>
            </w:r>
            <w:r>
              <w:rPr>
                <w:b/>
                <w:i/>
              </w:rPr>
              <w:t>Додатку 2</w:t>
            </w:r>
            <w:r>
              <w:rPr>
                <w:b/>
              </w:rPr>
              <w:t xml:space="preserve"> </w:t>
            </w:r>
            <w:r>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t>7</w:t>
            </w:r>
          </w:p>
        </w:tc>
        <w:tc>
          <w:tcPr>
            <w:tcW w:w="3000" w:type="dxa"/>
            <w:tcBorders>
              <w:top w:val="single" w:sz="4" w:space="0" w:color="000000"/>
              <w:bottom w:val="single" w:sz="4" w:space="0" w:color="000000"/>
            </w:tcBorders>
          </w:tcPr>
          <w:p>
            <w:pPr>
              <w:pStyle w:val="Normal"/>
              <w:widowControl w:val="false"/>
              <w:rPr/>
            </w:pPr>
            <w:r>
              <w:rPr>
                <w:b/>
                <w:color w:val="000000"/>
              </w:rPr>
              <w:t xml:space="preserve">Інформація про </w:t>
            </w:r>
            <w:r>
              <w:rPr>
                <w:b/>
              </w:rPr>
              <w:t xml:space="preserve">субпідрядника /співвиконавця </w:t>
            </w:r>
          </w:p>
        </w:tc>
        <w:tc>
          <w:tcPr>
            <w:tcW w:w="6255" w:type="dxa"/>
            <w:tcBorders>
              <w:top w:val="single" w:sz="4" w:space="0" w:color="000000"/>
              <w:bottom w:val="single" w:sz="4" w:space="0" w:color="000000"/>
              <w:right w:val="single" w:sz="4" w:space="0" w:color="000000"/>
            </w:tcBorders>
            <w:vAlign w:val="center"/>
          </w:tcPr>
          <w:p>
            <w:pPr>
              <w:pStyle w:val="Normal"/>
              <w:widowControl w:val="false"/>
              <w:ind w:right="120" w:hanging="0"/>
              <w:jc w:val="both"/>
              <w:rPr>
                <w:b/>
                <w:b/>
              </w:rPr>
            </w:pPr>
            <w:r>
              <w:rPr/>
              <w:t xml:space="preserve">Не передбачено.  </w:t>
            </w:r>
          </w:p>
          <w:p>
            <w:pPr>
              <w:pStyle w:val="Normal"/>
              <w:widowControl w:val="false"/>
              <w:ind w:right="120" w:hanging="0"/>
              <w:jc w:val="both"/>
              <w:rPr/>
            </w:pPr>
            <w:r>
              <w:rPr/>
            </w:r>
          </w:p>
        </w:tc>
      </w:tr>
      <w:tr>
        <w:trPr>
          <w:trHeight w:val="841"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t>8</w:t>
            </w:r>
          </w:p>
        </w:tc>
        <w:tc>
          <w:tcPr>
            <w:tcW w:w="3000" w:type="dxa"/>
            <w:tcBorders>
              <w:top w:val="single" w:sz="4" w:space="0" w:color="000000"/>
              <w:bottom w:val="single" w:sz="4" w:space="0" w:color="000000"/>
            </w:tcBorders>
          </w:tcPr>
          <w:p>
            <w:pPr>
              <w:pStyle w:val="Normal"/>
              <w:widowControl w:val="false"/>
              <w:rPr/>
            </w:pPr>
            <w:r>
              <w:rPr>
                <w:b/>
                <w:color w:val="000000"/>
              </w:rPr>
              <w:t>Унесення змін або відкликання тендерної пропозиції учасником</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pPr>
            <w:r>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pPr>
            <w:r>
              <w:rPr>
                <w:b/>
                <w:color w:val="000000"/>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1</w:t>
            </w:r>
          </w:p>
        </w:tc>
        <w:tc>
          <w:tcPr>
            <w:tcW w:w="3000" w:type="dxa"/>
            <w:tcBorders>
              <w:top w:val="single" w:sz="4" w:space="0" w:color="000000"/>
              <w:bottom w:val="single" w:sz="4" w:space="0" w:color="000000"/>
            </w:tcBorders>
          </w:tcPr>
          <w:p>
            <w:pPr>
              <w:pStyle w:val="Normal"/>
              <w:widowControl w:val="false"/>
              <w:rPr/>
            </w:pPr>
            <w:r>
              <w:rPr>
                <w:b/>
                <w:color w:val="000000"/>
              </w:rPr>
              <w:t>Кінцевий строк подання тендерної пропозиції</w:t>
            </w:r>
          </w:p>
        </w:tc>
        <w:tc>
          <w:tcPr>
            <w:tcW w:w="6255" w:type="dxa"/>
            <w:tcBorders>
              <w:top w:val="single" w:sz="4" w:space="0" w:color="000000"/>
              <w:bottom w:val="single" w:sz="4" w:space="0" w:color="000000"/>
              <w:right w:val="single" w:sz="4" w:space="0" w:color="000000"/>
            </w:tcBorders>
            <w:vAlign w:val="center"/>
          </w:tcPr>
          <w:p>
            <w:pPr>
              <w:pStyle w:val="Normal"/>
              <w:widowControl w:val="false"/>
              <w:ind w:left="40" w:right="120" w:hanging="0"/>
              <w:jc w:val="both"/>
              <w:rPr>
                <w:b/>
                <w:b/>
                <w:bCs/>
                <w:i/>
                <w:i/>
              </w:rPr>
            </w:pPr>
            <w:r>
              <w:rPr>
                <w:color w:val="000000"/>
              </w:rPr>
              <w:t xml:space="preserve">Кінцевий строк подання тендерних пропозицій </w:t>
            </w:r>
            <w:r>
              <w:rPr/>
              <w:t>—</w:t>
            </w:r>
            <w:r>
              <w:rPr>
                <w:color w:val="000000"/>
              </w:rPr>
              <w:t xml:space="preserve"> </w:t>
            </w:r>
            <w:r>
              <w:rPr>
                <w:b/>
                <w:bCs/>
                <w:color w:val="000000" w:themeColor="text1"/>
                <w:lang w:val="ru-RU"/>
              </w:rPr>
              <w:t>1</w:t>
            </w:r>
            <w:r>
              <w:rPr>
                <w:b/>
                <w:bCs/>
                <w:color w:val="000000" w:themeColor="text1"/>
                <w:lang w:val="uk-UA"/>
              </w:rPr>
              <w:t>7</w:t>
            </w:r>
            <w:r>
              <w:rPr>
                <w:b/>
                <w:bCs/>
                <w:color w:val="000000" w:themeColor="text1"/>
                <w:lang w:val="ru-RU"/>
              </w:rPr>
              <w:t xml:space="preserve"> </w:t>
            </w:r>
            <w:r>
              <w:rPr>
                <w:b/>
                <w:bCs/>
                <w:color w:val="000000" w:themeColor="text1"/>
              </w:rPr>
              <w:t xml:space="preserve">квітня </w:t>
            </w:r>
            <w:r>
              <w:rPr>
                <w:b/>
                <w:bCs/>
              </w:rPr>
              <w:t xml:space="preserve">2024 року о 10:00 за київським часом. </w:t>
            </w:r>
          </w:p>
          <w:p>
            <w:pPr>
              <w:pStyle w:val="Normal"/>
              <w:widowControl w:val="false"/>
              <w:jc w:val="both"/>
              <w:rPr/>
            </w:pPr>
            <w:r>
              <w:rPr/>
              <w:t>Отримана тендерна пропозиція вноситься автоматично до реєстру отриманих тендерних пропозицій.</w:t>
            </w:r>
          </w:p>
          <w:p>
            <w:pPr>
              <w:pStyle w:val="Normal"/>
              <w:widowControl w:val="false"/>
              <w:jc w:val="both"/>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pBdr/>
              <w:jc w:val="both"/>
              <w:rPr/>
            </w:pPr>
            <w:r>
              <w:rPr/>
              <w:t>Тендерні пропозиції після закінчення кінцевого строку їх подання не приймаються електронною системою закупівель.</w:t>
            </w:r>
          </w:p>
          <w:p>
            <w:pPr>
              <w:pStyle w:val="Normal"/>
              <w:widowControl w:val="false"/>
              <w:pBdr/>
              <w:jc w:val="both"/>
              <w:rPr>
                <w:strike/>
              </w:rPr>
            </w:pPr>
            <w:r>
              <w:rPr>
                <w:strike/>
              </w:rPr>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strike/>
              </w:rPr>
            </w:pPr>
            <w:r>
              <w:rPr>
                <w:b/>
              </w:rPr>
              <w:t>Дата та час розкриття тендерної пропозиції</w:t>
            </w:r>
            <w:r>
              <w:rPr>
                <w:sz w:val="28"/>
                <w:szCs w:val="28"/>
              </w:rPr>
              <w:t xml:space="preserve"> </w:t>
            </w:r>
          </w:p>
        </w:tc>
        <w:tc>
          <w:tcPr>
            <w:tcW w:w="6255" w:type="dxa"/>
            <w:tcBorders>
              <w:top w:val="single" w:sz="4" w:space="0" w:color="000000"/>
              <w:bottom w:val="single" w:sz="4" w:space="0" w:color="000000"/>
              <w:right w:val="single" w:sz="4" w:space="0" w:color="000000"/>
            </w:tcBorders>
            <w:vAlign w:val="center"/>
          </w:tcPr>
          <w:p>
            <w:pPr>
              <w:pStyle w:val="Normal"/>
              <w:widowControl w:val="false"/>
              <w:shd w:val="clear" w:color="auto" w:fill="FFFFFF"/>
              <w:jc w:val="both"/>
              <w:rPr/>
            </w:pPr>
            <w:r>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pPr>
            <w:r>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pPr>
            <w:r>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instrText> HYPERLINK "https://zakon.rada.gov.ua/laws/show/1178-2022-п" \l "n159"</w:instrText>
            </w:r>
            <w:r>
              <w:rPr/>
              <w:fldChar w:fldCharType="separate"/>
            </w:r>
            <w:r>
              <w:rPr/>
              <w:t>47</w:t>
            </w:r>
            <w:r>
              <w:rPr/>
              <w:fldChar w:fldCharType="end"/>
            </w:r>
            <w:r>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pPr>
            <w:r>
              <w:rPr>
                <w:b/>
                <w:color w:val="000000"/>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1</w:t>
            </w:r>
          </w:p>
        </w:tc>
        <w:tc>
          <w:tcPr>
            <w:tcW w:w="3000" w:type="dxa"/>
            <w:tcBorders>
              <w:top w:val="single" w:sz="4" w:space="0" w:color="000000"/>
              <w:bottom w:val="single" w:sz="4" w:space="0" w:color="000000"/>
            </w:tcBorders>
          </w:tcPr>
          <w:p>
            <w:pPr>
              <w:pStyle w:val="Normal"/>
              <w:widowControl w:val="false"/>
              <w:rPr/>
            </w:pPr>
            <w:r>
              <w:rPr>
                <w:b/>
                <w:color w:val="000000"/>
              </w:rPr>
              <w:t>Перелік критеріїв та методика оцінки тендерної пропозиції із зазначенням питомої ваги критерію</w:t>
            </w:r>
          </w:p>
        </w:tc>
        <w:tc>
          <w:tcPr>
            <w:tcW w:w="6255" w:type="dxa"/>
            <w:tcBorders>
              <w:top w:val="single" w:sz="4" w:space="0" w:color="000000"/>
              <w:bottom w:val="single" w:sz="4" w:space="0" w:color="000000"/>
              <w:right w:val="single" w:sz="4" w:space="0" w:color="000000"/>
            </w:tcBorders>
            <w:vAlign w:val="center"/>
          </w:tcPr>
          <w:p>
            <w:pPr>
              <w:pStyle w:val="Normal"/>
              <w:widowControl w:val="false"/>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highlight w:val="white"/>
              </w:rPr>
              <w:instrText> HYPERLINK "https://zakon.rada.gov.ua/laws/show/922-19" \l "n1553"</w:instrText>
            </w:r>
            <w:r>
              <w:rPr>
                <w:highlight w:val="white"/>
              </w:rPr>
              <w:fldChar w:fldCharType="separate"/>
            </w:r>
            <w:r>
              <w:rPr>
                <w:highlight w:val="white"/>
              </w:rPr>
              <w:t>шістнадцятої</w:t>
            </w:r>
            <w:r>
              <w:rPr>
                <w:highlight w:val="white"/>
              </w:rPr>
              <w:fldChar w:fldCharType="end"/>
            </w:r>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hd w:val="clear" w:color="auto" w:fill="FFFFFF"/>
              <w:jc w:val="both"/>
              <w:rPr>
                <w:highlight w:val="white"/>
              </w:rPr>
            </w:pPr>
            <w:r>
              <w:rPr>
                <w:highlight w:val="white"/>
                <w:lang w:val="ru-RU"/>
              </w:rPr>
              <w:t xml:space="preserve">Закупівля проводиться </w:t>
            </w:r>
            <w:r>
              <w:rPr>
                <w:highlight w:val="white"/>
              </w:rPr>
              <w:t>із застосуванням електронного аукціону.</w:t>
            </w:r>
          </w:p>
          <w:p>
            <w:pPr>
              <w:pStyle w:val="Normal"/>
              <w:widowControl w:val="false"/>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highlight w:val="white"/>
              </w:rPr>
            </w:pPr>
            <w:r>
              <w:rPr>
                <w:highlight w:val="white"/>
              </w:rPr>
              <w:t>Критерії та методика оцінки визначаються відповідно до статті 29 Закону.</w:t>
            </w:r>
          </w:p>
          <w:p>
            <w:pPr>
              <w:pStyle w:val="Normal"/>
              <w:widowControl w:val="false"/>
              <w:jc w:val="both"/>
              <w:rPr>
                <w:b/>
                <w:b/>
                <w:highlight w:val="white"/>
              </w:rPr>
            </w:pPr>
            <w:r>
              <w:rPr>
                <w:b/>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i/>
                <w:i/>
                <w:highlight w:val="white"/>
              </w:rPr>
            </w:pPr>
            <w:r>
              <w:rPr>
                <w:i/>
                <w:highlight w:val="white"/>
              </w:rPr>
              <w:t>(у разі якщо подано дві і більше тендерних пропозицій).</w:t>
            </w:r>
          </w:p>
          <w:p>
            <w:pPr>
              <w:pStyle w:val="Normal"/>
              <w:widowControl w:val="false"/>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i/>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b/>
                <w:b/>
                <w:bCs/>
                <w:iCs/>
              </w:rPr>
            </w:pPr>
            <w:r>
              <w:rPr>
                <w:b/>
                <w:bCs/>
                <w:iCs/>
              </w:rPr>
              <w:t xml:space="preserve">До розгляду </w:t>
            </w:r>
            <w:r>
              <w:rPr>
                <w:b/>
                <w:bCs/>
                <w:iCs/>
                <w:u w:val="single"/>
              </w:rPr>
              <w:t xml:space="preserve"> не приймається</w:t>
            </w:r>
            <w:r>
              <w:rPr>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pPr>
            <w:r>
              <w:rPr/>
              <w:t xml:space="preserve">Оцінка тендерних пропозицій здійснюється на основі критерію </w:t>
            </w:r>
            <w:r>
              <w:rPr>
                <w:b/>
                <w:bCs/>
              </w:rPr>
              <w:t>„Ціна”. Питома вага – 100 %.</w:t>
            </w:r>
          </w:p>
          <w:p>
            <w:pPr>
              <w:pStyle w:val="Normal"/>
              <w:widowControl w:val="false"/>
              <w:jc w:val="both"/>
              <w:rPr/>
            </w:pPr>
            <w:r>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pPr>
            <w:r>
              <w:rPr/>
              <w:t>Оцінка здійснюється щодо предмета закупівлі в цілому.</w:t>
            </w:r>
          </w:p>
          <w:p>
            <w:pPr>
              <w:pStyle w:val="Normal"/>
              <w:widowControl w:val="false"/>
              <w:jc w:val="both"/>
              <w:rPr/>
            </w:pPr>
            <w:r>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color w:val="000000" w:themeColor="text1"/>
                <w:highlight w:val="yellow"/>
              </w:rPr>
            </w:pPr>
            <w:r>
              <w:rPr>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pPr>
              <w:pStyle w:val="Normal"/>
              <w:widowControl w:val="false"/>
              <w:shd w:val="clear" w:color="auto" w:fill="FFFFFF"/>
              <w:jc w:val="both"/>
              <w:rPr>
                <w:highlight w:val="white"/>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strike/>
                <w:highlight w:val="white"/>
              </w:rPr>
            </w:pPr>
            <w:r>
              <w:rPr>
                <w:b/>
                <w:bCs/>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Pr>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highlight w:val="white"/>
              </w:rPr>
            </w:pPr>
            <w:r>
              <w:rPr/>
              <w:t>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pPr>
              <w:pStyle w:val="Normal"/>
              <w:widowControl w:val="false"/>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color w:val="00B050"/>
                <w:highlight w:val="white"/>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pPr>
            <w:r>
              <w:rPr>
                <w:b/>
                <w:color w:val="000000"/>
              </w:rPr>
              <w:t>Інша інформація</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pPr>
            <w:r>
              <w:rPr/>
              <w:t>Вартість тендерної пропозиції та всі інші ціни повинні бути чітко визначені.</w:t>
            </w:r>
          </w:p>
          <w:p>
            <w:pPr>
              <w:pStyle w:val="Normal"/>
              <w:widowControl w:val="false"/>
              <w:ind w:right="120" w:hanging="0"/>
              <w:jc w:val="both"/>
              <w:rPr/>
            </w:pPr>
            <w:r>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pPr>
            <w:r>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pPr>
            <w:r>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pPr>
            <w:r>
              <w:rPr>
                <w:b/>
                <w:i/>
                <w:u w:val="single"/>
              </w:rPr>
              <w:t>Інші умови тендерної документації:</w:t>
            </w:r>
          </w:p>
          <w:p>
            <w:pPr>
              <w:pStyle w:val="Normal"/>
              <w:widowControl w:val="false"/>
              <w:jc w:val="both"/>
              <w:rPr/>
            </w:pPr>
            <w:r>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pPr>
              <w:pStyle w:val="Normal"/>
              <w:widowControl w:val="false"/>
              <w:jc w:val="both"/>
              <w:rPr/>
            </w:pPr>
            <w:r>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pPr>
            <w:r>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pPr>
            <w:r>
              <w:rPr/>
              <w:t xml:space="preserve">5.  Учасники торгів — нерезиденти для виконання вимог щодо подання документів, передбачених </w:t>
            </w:r>
            <w:r>
              <w:rPr>
                <w:b/>
                <w:i/>
              </w:rPr>
              <w:t>Додатком  1</w:t>
            </w:r>
            <w:r>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8. Учасник, який подав тендерну пропозицію, вважається таким, що згодний з проектом договору про закупівлю, викладеним у </w:t>
            </w:r>
            <w:r>
              <w:rPr>
                <w:b/>
                <w:i/>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rPr/>
              <w:t xml:space="preserve"> до цієї тендерної документації.</w:t>
            </w:r>
          </w:p>
          <w:p>
            <w:pPr>
              <w:pStyle w:val="Normal"/>
              <w:widowControl w:val="false"/>
              <w:jc w:val="both"/>
              <w:rPr/>
            </w:pPr>
            <w:r>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pBdr/>
              <w:jc w:val="both"/>
              <w:rPr/>
            </w:pPr>
            <w:r>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pPr>
            <w:r>
              <w:rPr/>
              <w:t>11. Тендерна пропозиція учасника може містити документи з водяними знаками.</w:t>
            </w:r>
          </w:p>
          <w:p>
            <w:pPr>
              <w:pStyle w:val="Normal"/>
              <w:widowControl w:val="false"/>
              <w:pBdr/>
              <w:jc w:val="both"/>
              <w:rPr/>
            </w:pPr>
            <w:r>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pBdr/>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pBdr/>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pBdr/>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i/>
                <w:i/>
                <w:sz w:val="20"/>
                <w:szCs w:val="20"/>
              </w:rPr>
            </w:pPr>
            <w:r>
              <w:rPr/>
              <w:t xml:space="preserve">А також враховувати, що в Україні </w:t>
            </w:r>
            <w:r>
              <w:rPr>
                <w:highlight w:val="white"/>
              </w:rPr>
              <w:t xml:space="preserve">замовникам забороняється </w:t>
            </w:r>
            <w:r>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Pr>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3</w:t>
            </w:r>
          </w:p>
        </w:tc>
        <w:tc>
          <w:tcPr>
            <w:tcW w:w="3000" w:type="dxa"/>
            <w:tcBorders>
              <w:top w:val="single" w:sz="4" w:space="0" w:color="000000"/>
              <w:bottom w:val="single" w:sz="4" w:space="0" w:color="000000"/>
            </w:tcBorders>
          </w:tcPr>
          <w:p>
            <w:pPr>
              <w:pStyle w:val="Normal"/>
              <w:widowControl w:val="false"/>
              <w:rPr/>
            </w:pPr>
            <w:r>
              <w:rPr>
                <w:b/>
                <w:color w:val="000000"/>
              </w:rPr>
              <w:t>Відхилення тендерних пропозицій</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b/>
                <w:b/>
                <w:i/>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highlight w:val="white"/>
              </w:rPr>
            </w:pPr>
            <w:r>
              <w:rPr>
                <w:highlight w:val="white"/>
              </w:rPr>
              <w:t>1) учасник процедури закупівлі:</w:t>
            </w:r>
          </w:p>
          <w:p>
            <w:pPr>
              <w:pStyle w:val="Normal"/>
              <w:widowControl w:val="false"/>
              <w:shd w:val="clear" w:color="auto" w:fill="FFFFFF"/>
              <w:ind w:firstLine="567"/>
              <w:jc w:val="both"/>
              <w:rPr/>
            </w:pPr>
            <w:r>
              <w:rPr/>
              <w:t>підпадає під підстави, встановлені пунктом 47 цих особливостей;</w:t>
            </w:r>
          </w:p>
          <w:p>
            <w:pPr>
              <w:pStyle w:val="Normal"/>
              <w:widowControl w:val="false"/>
              <w:shd w:val="clear" w:color="auto" w:fill="FFFFFF"/>
              <w:ind w:firstLine="567"/>
              <w:jc w:val="both"/>
              <w:rPr/>
            </w:pP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highlight w:val="white"/>
              </w:rPr>
            </w:pPr>
            <w:r>
              <w:rPr>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highlight w:val="white"/>
              </w:rPr>
            </w:pPr>
            <w:r>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highlight w:val="white"/>
              </w:rPr>
              <w:t xml:space="preserve"> </w:t>
            </w:r>
          </w:p>
          <w:p>
            <w:pPr>
              <w:pStyle w:val="Normal"/>
              <w:widowControl w:val="false"/>
              <w:shd w:val="clear" w:color="auto" w:fill="FFFFFF"/>
              <w:ind w:firstLine="567"/>
              <w:jc w:val="both"/>
              <w:rPr>
                <w:highlight w:val="white"/>
              </w:rPr>
            </w:pPr>
            <w:r>
              <w:rPr>
                <w:highlight w:val="white"/>
              </w:rPr>
              <w:t>2) тендерна пропозиція:</w:t>
            </w:r>
          </w:p>
          <w:p>
            <w:pPr>
              <w:pStyle w:val="Normal"/>
              <w:widowControl w:val="false"/>
              <w:shd w:val="clear" w:color="auto" w:fill="FFFFFF"/>
              <w:ind w:firstLine="567"/>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highlight w:val="white"/>
              </w:rPr>
              <w:instrText> HYPERLINK "https://zakon.rada.gov.ua/laws/show/1178-2022-п" \l "n131"</w:instrText>
            </w:r>
            <w:r>
              <w:rPr>
                <w:highlight w:val="white"/>
              </w:rPr>
              <w:fldChar w:fldCharType="separate"/>
            </w:r>
            <w:r>
              <w:rPr>
                <w:highlight w:val="white"/>
              </w:rPr>
              <w:t>пункту 4</w:t>
            </w:r>
            <w:r>
              <w:rPr>
                <w:highlight w:val="white"/>
              </w:rPr>
              <w:fldChar w:fldCharType="end"/>
            </w:r>
            <w:r>
              <w:rPr>
                <w:highlight w:val="white"/>
              </w:rPr>
              <w:t>3 цих особливостей;</w:t>
            </w:r>
          </w:p>
          <w:p>
            <w:pPr>
              <w:pStyle w:val="Normal"/>
              <w:widowControl w:val="false"/>
              <w:shd w:val="clear" w:color="auto" w:fill="FFFFFF"/>
              <w:ind w:firstLine="567"/>
              <w:jc w:val="both"/>
              <w:rPr>
                <w:highlight w:val="white"/>
              </w:rPr>
            </w:pPr>
            <w:r>
              <w:rPr>
                <w:highlight w:val="white"/>
              </w:rPr>
              <w:t>є такою, строк дії якої закінчився;</w:t>
            </w:r>
          </w:p>
          <w:p>
            <w:pPr>
              <w:pStyle w:val="Normal"/>
              <w:widowControl w:val="false"/>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highlight w:val="white"/>
              </w:rPr>
            </w:pPr>
            <w:r>
              <w:rPr>
                <w:highlight w:val="white"/>
              </w:rPr>
              <w:t>3) переможець процедури закупівлі:</w:t>
            </w:r>
          </w:p>
          <w:p>
            <w:pPr>
              <w:pStyle w:val="Normal"/>
              <w:widowControl w:val="false"/>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pPr>
            <w:r>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b/>
                <w:b/>
                <w:i/>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highlight w:val="white"/>
              </w:rPr>
            </w:pPr>
            <w:r>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highlight w:val="white"/>
              </w:rPr>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highlight w:val="white"/>
              </w:rPr>
            </w:pPr>
            <w:r>
              <w:rPr>
                <w:b/>
                <w:color w:val="000000"/>
                <w:highlight w:val="white"/>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1</w:t>
            </w:r>
          </w:p>
        </w:tc>
        <w:tc>
          <w:tcPr>
            <w:tcW w:w="3000" w:type="dxa"/>
            <w:tcBorders>
              <w:top w:val="single" w:sz="4" w:space="0" w:color="000000"/>
              <w:bottom w:val="single" w:sz="4" w:space="0" w:color="000000"/>
            </w:tcBorders>
          </w:tcPr>
          <w:p>
            <w:pPr>
              <w:pStyle w:val="Normal"/>
              <w:widowControl w:val="false"/>
              <w:rPr>
                <w:b/>
                <w:b/>
              </w:rPr>
            </w:pPr>
            <w:r>
              <w:rPr>
                <w:b/>
              </w:rPr>
              <w:t>Відміна тендеру чи визнання тендеру таким, що не відбувся</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b/>
                <w:b/>
                <w:i/>
                <w:i/>
                <w:highlight w:val="white"/>
              </w:rPr>
            </w:pPr>
            <w:r>
              <w:rPr>
                <w:b/>
                <w:i/>
                <w:highlight w:val="white"/>
              </w:rPr>
              <w:t>Замовник відміняє відкриті торги у разі:</w:t>
            </w:r>
          </w:p>
          <w:p>
            <w:pPr>
              <w:pStyle w:val="Normal"/>
              <w:widowControl w:val="false"/>
              <w:jc w:val="both"/>
              <w:rPr>
                <w:highlight w:val="white"/>
              </w:rPr>
            </w:pPr>
            <w:r>
              <w:rPr>
                <w:highlight w:val="white"/>
              </w:rPr>
              <w:t>1) відсутності подальшої потреби в закупівлі товарів, робіт чи послуг;</w:t>
            </w:r>
          </w:p>
          <w:p>
            <w:pPr>
              <w:pStyle w:val="Normal"/>
              <w:widowControl w:val="false"/>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highlight w:val="white"/>
              </w:rPr>
            </w:pPr>
            <w:r>
              <w:rPr>
                <w:highlight w:val="white"/>
              </w:rPr>
              <w:t>3) скорочення обсягу видатків на здійснення закупівлі товарів, робіт чи послуг;</w:t>
            </w:r>
          </w:p>
          <w:p>
            <w:pPr>
              <w:pStyle w:val="Normal"/>
              <w:widowControl w:val="false"/>
              <w:jc w:val="both"/>
              <w:rPr>
                <w:highlight w:val="white"/>
              </w:rPr>
            </w:pPr>
            <w:r>
              <w:rPr>
                <w:highlight w:val="white"/>
              </w:rPr>
              <w:t>4) коли здійснення закупівлі стало неможливим внаслідок дії обставин непереборної сили.</w:t>
            </w:r>
          </w:p>
          <w:p>
            <w:pPr>
              <w:pStyle w:val="Normal"/>
              <w:widowControl w:val="false"/>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highlight w:val="white"/>
              </w:rPr>
            </w:pPr>
            <w:r>
              <w:rPr>
                <w:b/>
                <w:i/>
                <w:highlight w:val="white"/>
              </w:rPr>
              <w:t>Відкриті торги автоматично відміняються електронною системою закупівель у разі:</w:t>
            </w:r>
          </w:p>
          <w:p>
            <w:pPr>
              <w:pStyle w:val="Normal"/>
              <w:widowControl w:val="false"/>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highlight w:val="white"/>
              </w:rPr>
            </w:pPr>
            <w:r>
              <w:rPr>
                <w:highlight w:val="white"/>
              </w:rPr>
              <w:t>Відкриті торги можуть бути відмінені частково (за лотом).</w:t>
            </w:r>
          </w:p>
          <w:p>
            <w:pPr>
              <w:pStyle w:val="Normal"/>
              <w:widowControl w:val="false"/>
              <w:jc w:val="both"/>
              <w:rPr>
                <w:highlight w:val="white"/>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2</w:t>
            </w:r>
          </w:p>
        </w:tc>
        <w:tc>
          <w:tcPr>
            <w:tcW w:w="3000" w:type="dxa"/>
            <w:tcBorders>
              <w:top w:val="single" w:sz="4" w:space="0" w:color="000000"/>
              <w:bottom w:val="single" w:sz="4" w:space="0" w:color="000000"/>
            </w:tcBorders>
          </w:tcPr>
          <w:p>
            <w:pPr>
              <w:pStyle w:val="Normal"/>
              <w:widowControl w:val="false"/>
              <w:rPr/>
            </w:pPr>
            <w:r>
              <w:rPr>
                <w:b/>
                <w:color w:val="000000"/>
              </w:rPr>
              <w:t>Строк укладання договору про закупівлю</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3</w:t>
            </w:r>
          </w:p>
        </w:tc>
        <w:tc>
          <w:tcPr>
            <w:tcW w:w="3000" w:type="dxa"/>
            <w:tcBorders>
              <w:top w:val="single" w:sz="4" w:space="0" w:color="000000"/>
              <w:bottom w:val="single" w:sz="4" w:space="0" w:color="000000"/>
            </w:tcBorders>
          </w:tcPr>
          <w:p>
            <w:pPr>
              <w:pStyle w:val="Normal"/>
              <w:widowControl w:val="false"/>
              <w:rPr/>
            </w:pPr>
            <w:r>
              <w:rPr>
                <w:b/>
                <w:color w:val="000000"/>
              </w:rPr>
              <w:t>Проект договору про закупівлю</w:t>
            </w:r>
          </w:p>
        </w:tc>
        <w:tc>
          <w:tcPr>
            <w:tcW w:w="6255" w:type="dxa"/>
            <w:tcBorders>
              <w:top w:val="single" w:sz="4" w:space="0" w:color="000000"/>
              <w:bottom w:val="single" w:sz="4" w:space="0" w:color="000000"/>
              <w:right w:val="single" w:sz="4" w:space="0" w:color="000000"/>
            </w:tcBorders>
            <w:vAlign w:val="center"/>
          </w:tcPr>
          <w:p>
            <w:pPr>
              <w:pStyle w:val="Normal"/>
              <w:widowControl w:val="false"/>
              <w:ind w:right="120" w:hanging="0"/>
              <w:jc w:val="both"/>
              <w:rPr/>
            </w:pPr>
            <w:r>
              <w:rPr/>
              <w:t xml:space="preserve">Проект договору про закупівлю викладено в </w:t>
            </w:r>
            <w:r>
              <w:rPr>
                <w:b/>
                <w:i/>
              </w:rPr>
              <w:t>Додатку 3</w:t>
            </w:r>
            <w:r>
              <w:rPr/>
              <w:t xml:space="preserve"> до цієї тендерної документації.</w:t>
            </w:r>
          </w:p>
          <w:p>
            <w:pPr>
              <w:pStyle w:val="Normal"/>
              <w:widowControl w:val="false"/>
              <w:ind w:right="120" w:hanging="0"/>
              <w:jc w:val="both"/>
              <w:rPr/>
            </w:pPr>
            <w:r>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i/>
                <w:i/>
                <w:highlight w:val="white"/>
              </w:rPr>
            </w:pPr>
            <w:r>
              <w:rPr>
                <w:b/>
                <w:bCs/>
                <w:highlight w:val="white"/>
              </w:rPr>
              <w:t>Переможець процедури закупівлі</w:t>
            </w:r>
            <w:r>
              <w:rPr>
                <w:highlight w:val="white"/>
              </w:rPr>
              <w:t xml:space="preserve"> під час укладення договору про закупівлю </w:t>
            </w:r>
            <w:r>
              <w:rPr>
                <w:i/>
                <w:iCs/>
                <w:highlight w:val="white"/>
                <w:u w:val="single"/>
              </w:rPr>
              <w:t>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color w:val="000000"/>
              </w:rPr>
              <w:t>4</w:t>
            </w:r>
          </w:p>
        </w:tc>
        <w:tc>
          <w:tcPr>
            <w:tcW w:w="3000" w:type="dxa"/>
            <w:tcBorders>
              <w:top w:val="single" w:sz="4" w:space="0" w:color="000000"/>
              <w:bottom w:val="single" w:sz="4" w:space="0" w:color="000000"/>
            </w:tcBorders>
          </w:tcPr>
          <w:p>
            <w:pPr>
              <w:pStyle w:val="Normal"/>
              <w:widowControl w:val="false"/>
              <w:rPr/>
            </w:pPr>
            <w:r>
              <w:rPr>
                <w:b/>
                <w:color w:val="000000"/>
              </w:rPr>
              <w:t>Умови договору про закупівлю</w:t>
            </w:r>
          </w:p>
        </w:tc>
        <w:tc>
          <w:tcPr>
            <w:tcW w:w="6255" w:type="dxa"/>
            <w:tcBorders>
              <w:top w:val="single" w:sz="4" w:space="0" w:color="000000"/>
              <w:bottom w:val="single" w:sz="4" w:space="0" w:color="000000"/>
              <w:right w:val="single" w:sz="4" w:space="0" w:color="000000"/>
            </w:tcBorders>
            <w:vAlign w:val="center"/>
          </w:tcPr>
          <w:p>
            <w:pPr>
              <w:pStyle w:val="Normal"/>
              <w:widowControl w:val="false"/>
              <w:jc w:val="both"/>
              <w:rPr>
                <w:highlight w:val="white"/>
              </w:rPr>
            </w:pPr>
            <w:r>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0"/>
              <w:jc w:val="both"/>
              <w:rPr/>
            </w:pPr>
            <w:r>
              <w:rP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rPr/>
              <w:t>ім випадків:</w:t>
            </w:r>
          </w:p>
          <w:p>
            <w:pPr>
              <w:pStyle w:val="Normal"/>
              <w:widowControl w:val="false"/>
              <w:pBdr/>
              <w:jc w:val="both"/>
              <w:rPr/>
            </w:pPr>
            <w:r>
              <w:rPr/>
              <w:t>визначення грошового еквівалента зобов’язання в іноземній валюті;</w:t>
            </w:r>
          </w:p>
          <w:p>
            <w:pPr>
              <w:pStyle w:val="Normal"/>
              <w:widowControl w:val="false"/>
              <w:pBdr/>
              <w:jc w:val="both"/>
              <w:rPr/>
            </w:pPr>
            <w:r>
              <w:rPr/>
              <w:t>перерахунку ціни в бік зменшення ціни тендерної пропозиції переможця без зменшення обсягів закупівлі;</w:t>
            </w:r>
          </w:p>
          <w:p>
            <w:pPr>
              <w:pStyle w:val="Normal"/>
              <w:widowControl w:val="false"/>
              <w:pBdr/>
              <w:jc w:val="both"/>
              <w:rPr/>
            </w:pPr>
            <w:r>
              <w:rPr/>
              <w:t>перерахунку ціни та обсягів товарів в бік зменшення за умови необхідності приведення обсягів товарів до кратності упаковки .</w:t>
            </w:r>
          </w:p>
        </w:tc>
      </w:tr>
      <w:tr>
        <w:trPr>
          <w:trHeight w:val="1119" w:hRule="atLeast"/>
        </w:trPr>
        <w:tc>
          <w:tcPr>
            <w:tcW w:w="705" w:type="dxa"/>
            <w:tcBorders>
              <w:top w:val="single" w:sz="4" w:space="0" w:color="000000"/>
              <w:left w:val="single" w:sz="4" w:space="0" w:color="000000"/>
              <w:bottom w:val="single" w:sz="4" w:space="0" w:color="000000"/>
            </w:tcBorders>
          </w:tcPr>
          <w:p>
            <w:pPr>
              <w:pStyle w:val="Normal"/>
              <w:widowControl w:val="false"/>
              <w:jc w:val="center"/>
              <w:rPr/>
            </w:pPr>
            <w:r>
              <w:rPr/>
              <w:t>5</w:t>
            </w:r>
          </w:p>
        </w:tc>
        <w:tc>
          <w:tcPr>
            <w:tcW w:w="3000" w:type="dxa"/>
            <w:tcBorders>
              <w:top w:val="single" w:sz="4" w:space="0" w:color="000000"/>
              <w:bottom w:val="single" w:sz="4" w:space="0" w:color="000000"/>
            </w:tcBorders>
          </w:tcPr>
          <w:p>
            <w:pPr>
              <w:pStyle w:val="Normal"/>
              <w:widowControl w:val="false"/>
              <w:rPr/>
            </w:pPr>
            <w:r>
              <w:rPr>
                <w:b/>
                <w:color w:val="000000"/>
              </w:rPr>
              <w:t>Забезпечення виконання договору про закупівлю</w:t>
            </w:r>
          </w:p>
        </w:tc>
        <w:tc>
          <w:tcPr>
            <w:tcW w:w="6255" w:type="dxa"/>
            <w:tcBorders>
              <w:top w:val="single" w:sz="4" w:space="0" w:color="000000"/>
              <w:bottom w:val="single" w:sz="4" w:space="0" w:color="000000"/>
              <w:right w:val="single" w:sz="4" w:space="0" w:color="000000"/>
            </w:tcBorders>
            <w:vAlign w:val="center"/>
          </w:tcPr>
          <w:p>
            <w:pPr>
              <w:pStyle w:val="Normal"/>
              <w:widowControl w:val="false"/>
              <w:ind w:right="120" w:hanging="0"/>
              <w:jc w:val="both"/>
              <w:rPr/>
            </w:pPr>
            <w:r>
              <w:rPr/>
              <w:t>Забезпечення виконання договору про закупівлю не вимагається.</w:t>
            </w:r>
          </w:p>
          <w:p>
            <w:pPr>
              <w:pStyle w:val="Normal"/>
              <w:widowControl w:val="false"/>
              <w:jc w:val="both"/>
              <w:rPr/>
            </w:pPr>
            <w:r>
              <w:rPr/>
            </w:r>
          </w:p>
        </w:tc>
      </w:tr>
    </w:tbl>
    <w:p>
      <w:pPr>
        <w:pStyle w:val="Normal"/>
        <w:ind w:left="5660" w:firstLine="700"/>
        <w:rPr>
          <w:b/>
          <w:b/>
          <w:color w:val="000000"/>
          <w:sz w:val="20"/>
          <w:szCs w:val="20"/>
        </w:rPr>
      </w:pPr>
      <w:r>
        <w:rPr>
          <w:b/>
          <w:color w:val="000000"/>
          <w:sz w:val="20"/>
          <w:szCs w:val="20"/>
        </w:rPr>
      </w:r>
      <w:bookmarkStart w:id="6" w:name="_heading=h.2s8eyo1"/>
      <w:bookmarkStart w:id="7" w:name="_heading=h.2s8eyo1"/>
      <w:bookmarkEnd w:id="7"/>
    </w:p>
    <w:p>
      <w:pPr>
        <w:pStyle w:val="Normal"/>
        <w:ind w:left="5660" w:firstLine="700"/>
        <w:jc w:val="right"/>
        <w:rPr>
          <w:b/>
          <w:b/>
          <w:color w:val="000000"/>
          <w:sz w:val="20"/>
          <w:szCs w:val="20"/>
        </w:rPr>
      </w:pPr>
      <w:r>
        <w:rPr>
          <w:b/>
          <w:color w:val="000000"/>
          <w:sz w:val="20"/>
          <w:szCs w:val="20"/>
        </w:rPr>
      </w:r>
    </w:p>
    <w:p>
      <w:pPr>
        <w:pStyle w:val="Normal"/>
        <w:ind w:left="5660" w:firstLine="700"/>
        <w:jc w:val="right"/>
        <w:rPr>
          <w:b/>
          <w:b/>
          <w:color w:val="000000"/>
          <w:sz w:val="20"/>
          <w:szCs w:val="20"/>
        </w:rPr>
      </w:pPr>
      <w:r>
        <w:rPr>
          <w:b/>
          <w:color w:val="000000"/>
          <w:sz w:val="20"/>
          <w:szCs w:val="20"/>
        </w:rPr>
      </w:r>
    </w:p>
    <w:p>
      <w:pPr>
        <w:pStyle w:val="Normal"/>
        <w:ind w:left="5660" w:firstLine="700"/>
        <w:jc w:val="right"/>
        <w:rPr>
          <w:b/>
          <w:b/>
          <w:color w:val="000000"/>
          <w:sz w:val="20"/>
          <w:szCs w:val="20"/>
        </w:rPr>
      </w:pPr>
      <w:r>
        <w:rPr>
          <w:b/>
          <w:color w:val="000000"/>
          <w:sz w:val="20"/>
          <w:szCs w:val="20"/>
        </w:rPr>
      </w:r>
    </w:p>
    <w:p>
      <w:pPr>
        <w:pStyle w:val="Normal"/>
        <w:ind w:left="5660" w:firstLine="700"/>
        <w:jc w:val="right"/>
        <w:rPr>
          <w:b/>
          <w:b/>
          <w:color w:val="000000"/>
          <w:sz w:val="20"/>
          <w:szCs w:val="20"/>
        </w:rPr>
      </w:pPr>
      <w:r>
        <w:rPr>
          <w:b/>
          <w:color w:val="000000"/>
          <w:sz w:val="20"/>
          <w:szCs w:val="20"/>
        </w:rPr>
      </w:r>
    </w:p>
    <w:p>
      <w:pPr>
        <w:pStyle w:val="Normal"/>
        <w:ind w:left="5660" w:firstLine="700"/>
        <w:jc w:val="right"/>
        <w:rPr>
          <w:b/>
          <w:b/>
          <w:color w:val="000000"/>
          <w:sz w:val="20"/>
          <w:szCs w:val="20"/>
        </w:rPr>
      </w:pPr>
      <w:r>
        <w:rPr>
          <w:b/>
          <w:color w:val="000000"/>
          <w:sz w:val="20"/>
          <w:szCs w:val="20"/>
        </w:rPr>
      </w:r>
    </w:p>
    <w:p>
      <w:pPr>
        <w:pStyle w:val="Normal"/>
        <w:ind w:left="5660" w:firstLine="700"/>
        <w:jc w:val="right"/>
        <w:rPr>
          <w:b/>
          <w:b/>
          <w:color w:val="000000"/>
          <w:sz w:val="20"/>
          <w:szCs w:val="20"/>
        </w:rPr>
      </w:pPr>
      <w:r>
        <w:rPr>
          <w:b/>
          <w:color w:val="000000"/>
          <w:sz w:val="20"/>
          <w:szCs w:val="20"/>
        </w:rPr>
      </w:r>
    </w:p>
    <w:p>
      <w:pPr>
        <w:pStyle w:val="Normal"/>
        <w:ind w:left="5660" w:firstLine="700"/>
        <w:jc w:val="right"/>
        <w:rPr>
          <w:sz w:val="20"/>
          <w:szCs w:val="20"/>
        </w:rPr>
      </w:pPr>
      <w:r>
        <w:rPr>
          <w:b/>
          <w:color w:val="000000"/>
          <w:sz w:val="20"/>
          <w:szCs w:val="20"/>
        </w:rPr>
        <w:t>ДОДАТОК 1</w:t>
      </w:r>
    </w:p>
    <w:p>
      <w:pPr>
        <w:pStyle w:val="Normal"/>
        <w:ind w:left="5660" w:firstLine="700"/>
        <w:jc w:val="right"/>
        <w:rPr>
          <w:sz w:val="20"/>
          <w:szCs w:val="20"/>
        </w:rPr>
      </w:pPr>
      <w:r>
        <w:rPr>
          <w:i/>
          <w:color w:val="000000"/>
          <w:sz w:val="20"/>
          <w:szCs w:val="20"/>
        </w:rPr>
        <w:t>до тендерної документації</w:t>
      </w:r>
    </w:p>
    <w:p>
      <w:pPr>
        <w:pStyle w:val="Normal"/>
        <w:ind w:left="5660" w:firstLine="700"/>
        <w:jc w:val="both"/>
        <w:rPr>
          <w:sz w:val="20"/>
          <w:szCs w:val="20"/>
        </w:rPr>
      </w:pPr>
      <w:r>
        <w:rPr>
          <w:i/>
          <w:color w:val="000000"/>
          <w:sz w:val="20"/>
          <w:szCs w:val="20"/>
        </w:rPr>
        <w:t> </w:t>
      </w:r>
    </w:p>
    <w:p>
      <w:pPr>
        <w:pStyle w:val="Normal"/>
        <w:numPr>
          <w:ilvl w:val="0"/>
          <w:numId w:val="4"/>
        </w:numPr>
        <w:shd w:val="clear" w:color="auto" w:fill="FFFFFF"/>
        <w:ind w:left="502" w:hanging="360"/>
        <w:jc w:val="both"/>
        <w:rPr>
          <w:b/>
          <w:b/>
          <w:color w:val="000000"/>
          <w:sz w:val="20"/>
          <w:szCs w:val="20"/>
        </w:rPr>
      </w:pPr>
      <w:r>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ind w:left="885" w:hanging="0"/>
        <w:jc w:val="center"/>
        <w:rPr>
          <w:b/>
          <w:b/>
          <w:i/>
          <w:i/>
          <w:color w:val="4A86E8"/>
          <w:sz w:val="20"/>
          <w:szCs w:val="20"/>
        </w:rPr>
      </w:pPr>
      <w:r>
        <w:rPr>
          <w:b/>
          <w:i/>
          <w:color w:val="4A86E8"/>
          <w:sz w:val="20"/>
          <w:szCs w:val="20"/>
        </w:rPr>
      </w:r>
    </w:p>
    <w:tbl>
      <w:tblPr>
        <w:tblW w:w="9913"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9"/>
        <w:gridCol w:w="2273"/>
        <w:gridCol w:w="7151"/>
      </w:tblGrid>
      <w:tr>
        <w:trPr>
          <w:trHeight w:val="690" w:hRule="atLeast"/>
        </w:trPr>
        <w:tc>
          <w:tcPr>
            <w:tcW w:w="48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240" w:after="0"/>
              <w:jc w:val="center"/>
              <w:rPr>
                <w:sz w:val="20"/>
                <w:szCs w:val="20"/>
              </w:rPr>
            </w:pPr>
            <w:r>
              <w:rPr>
                <w:b/>
                <w:color w:val="000000"/>
                <w:sz w:val="20"/>
                <w:szCs w:val="20"/>
              </w:rPr>
              <w:t xml:space="preserve">№ </w:t>
            </w:r>
            <w:r>
              <w:rPr>
                <w:b/>
                <w:sz w:val="20"/>
                <w:szCs w:val="20"/>
              </w:rPr>
              <w:t>з</w:t>
            </w:r>
            <w:r>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240" w:after="0"/>
              <w:jc w:val="center"/>
              <w:rPr>
                <w:sz w:val="20"/>
                <w:szCs w:val="20"/>
              </w:rPr>
            </w:pPr>
            <w:r>
              <w:rPr>
                <w:b/>
                <w:color w:val="000000"/>
                <w:sz w:val="20"/>
                <w:szCs w:val="20"/>
              </w:rPr>
              <w:t>Кваліфікаційні критерії</w:t>
            </w:r>
          </w:p>
        </w:tc>
        <w:tc>
          <w:tcPr>
            <w:tcW w:w="715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240" w:after="0"/>
              <w:jc w:val="center"/>
              <w:rPr>
                <w:sz w:val="20"/>
                <w:szCs w:val="20"/>
              </w:rPr>
            </w:pPr>
            <w:r>
              <w:rPr>
                <w:b/>
                <w:color w:val="000000"/>
                <w:sz w:val="20"/>
                <w:szCs w:val="20"/>
              </w:rPr>
              <w:t>Документи , які підтверджують відповідність Учасника кваліфікаційним критеріям</w:t>
            </w:r>
          </w:p>
        </w:tc>
      </w:tr>
      <w:tr>
        <w:trPr>
          <w:trHeight w:val="2255"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sz w:val="20"/>
                <w:szCs w:val="20"/>
              </w:rPr>
            </w:pPr>
            <w:r>
              <w:rPr>
                <w:sz w:val="20"/>
                <w:szCs w:val="20"/>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rPr>
            </w:pPr>
            <w:r>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tcPr>
          <w:p>
            <w:pPr>
              <w:pStyle w:val="Normal"/>
              <w:keepNext w:val="true"/>
              <w:widowControl w:val="false"/>
              <w:jc w:val="both"/>
              <w:rPr>
                <w:color w:val="000000"/>
              </w:rPr>
            </w:pPr>
            <w:r>
              <w:rPr>
                <w:bCs/>
                <w:color w:val="000000"/>
                <w:spacing w:val="-5"/>
                <w:lang w:val="ru-RU"/>
              </w:rPr>
              <w:t>1</w:t>
            </w:r>
            <w:r>
              <w:rPr>
                <w:bCs/>
                <w:color w:val="000000"/>
                <w:spacing w:val="-5"/>
              </w:rPr>
              <w:t>.</w:t>
            </w:r>
            <w:r>
              <w:rPr>
                <w:bCs/>
                <w:color w:val="000000"/>
                <w:spacing w:val="-5"/>
                <w:lang w:val="ru-RU"/>
              </w:rPr>
              <w:t>1</w:t>
            </w:r>
            <w:r>
              <w:rPr>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pPr>
              <w:pStyle w:val="Normal"/>
              <w:keepNext w:val="true"/>
              <w:widowControl w:val="false"/>
              <w:jc w:val="both"/>
              <w:rPr>
                <w:i/>
                <w:i/>
                <w:color w:val="000000" w:themeColor="text1"/>
              </w:rPr>
            </w:pPr>
            <w:r>
              <w:rPr>
                <w:i/>
                <w:color w:val="000000"/>
              </w:rPr>
              <w:t xml:space="preserve">Аналогічним буде вважатися договір щодо </w:t>
            </w:r>
            <w:r>
              <w:rPr>
                <w:i/>
                <w:color w:val="000000" w:themeColor="text1"/>
              </w:rPr>
              <w:t xml:space="preserve">постачання за кодом </w:t>
            </w:r>
            <w:r>
              <w:rPr>
                <w:b/>
                <w:bCs/>
                <w:color w:val="000000"/>
                <w:spacing w:val="-4"/>
                <w:shd w:fill="FFFFFF" w:val="clear"/>
                <w:lang w:eastAsia="zh-CN" w:bidi="hi-IN"/>
              </w:rPr>
              <w:t xml:space="preserve">ДК 021:2015 </w:t>
            </w:r>
            <w:r>
              <w:rPr>
                <w:b/>
                <w:bCs/>
                <w:color w:val="000000"/>
                <w:spacing w:val="-4"/>
                <w:lang w:eastAsia="en-US" w:bidi="hi-IN"/>
              </w:rPr>
              <w:t>33690000-3 – Лікарські засоби різні</w:t>
            </w:r>
            <w:r>
              <w:rPr>
                <w:i/>
                <w:color w:val="000000" w:themeColor="text1"/>
              </w:rPr>
              <w:t xml:space="preserve">.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81" w:hanging="0"/>
              <w:jc w:val="center"/>
              <w:rPr/>
            </w:pPr>
            <w:r>
              <w:rPr>
                <w:b/>
                <w:i/>
                <w:color w:val="000000"/>
              </w:rPr>
              <w:t>Довідка про досвід виконання аналогічного договору (договорів)</w:t>
            </w:r>
          </w:p>
          <w:tbl>
            <w:tblPr>
              <w:tblW w:w="6458" w:type="dxa"/>
              <w:jc w:val="left"/>
              <w:tblInd w:w="155" w:type="dxa"/>
              <w:tblLayout w:type="fixed"/>
              <w:tblCellMar>
                <w:top w:w="0" w:type="dxa"/>
                <w:left w:w="108" w:type="dxa"/>
                <w:bottom w:w="0" w:type="dxa"/>
                <w:right w:w="108" w:type="dxa"/>
              </w:tblCellMar>
              <w:tblLook w:firstRow="1" w:noVBand="1" w:lastRow="0" w:firstColumn="1" w:lastColumn="0" w:noHBand="0" w:val="04a0"/>
            </w:tblPr>
            <w:tblGrid>
              <w:gridCol w:w="576"/>
              <w:gridCol w:w="1345"/>
              <w:gridCol w:w="1275"/>
              <w:gridCol w:w="1134"/>
              <w:gridCol w:w="1128"/>
              <w:gridCol w:w="999"/>
            </w:tblGrid>
            <w:tr>
              <w:trPr>
                <w:trHeight w:val="1025" w:hRule="atLeast"/>
              </w:trPr>
              <w:tc>
                <w:tcPr>
                  <w:tcW w:w="576" w:type="dxa"/>
                  <w:tcBorders>
                    <w:top w:val="single" w:sz="4" w:space="0" w:color="000000"/>
                    <w:left w:val="single" w:sz="4" w:space="0" w:color="000000"/>
                    <w:bottom w:val="single" w:sz="4" w:space="0" w:color="000000"/>
                  </w:tcBorders>
                  <w:shd w:color="auto" w:fill="auto" w:val="clear"/>
                  <w:vAlign w:val="center"/>
                </w:tcPr>
                <w:p>
                  <w:pPr>
                    <w:pStyle w:val="14"/>
                    <w:widowControl w:val="false"/>
                    <w:spacing w:lineRule="auto" w:line="252" w:before="0" w:after="200"/>
                    <w:contextualSpacing/>
                    <w:jc w:val="center"/>
                    <w:rPr>
                      <w:rFonts w:ascii="Times New Roman" w:hAnsi="Times New Roman" w:cs="Times New Roman"/>
                      <w:sz w:val="22"/>
                      <w:szCs w:val="22"/>
                    </w:rPr>
                  </w:pPr>
                  <w:r>
                    <w:rPr>
                      <w:rFonts w:cs="Times New Roman" w:ascii="Times New Roman" w:hAnsi="Times New Roman"/>
                      <w:color w:val="000000"/>
                      <w:sz w:val="22"/>
                      <w:szCs w:val="22"/>
                    </w:rPr>
                    <w:t>№</w:t>
                  </w:r>
                </w:p>
                <w:p>
                  <w:pPr>
                    <w:pStyle w:val="14"/>
                    <w:widowControl w:val="false"/>
                    <w:spacing w:lineRule="auto" w:line="252" w:before="0" w:after="200"/>
                    <w:contextualSpacing/>
                    <w:jc w:val="center"/>
                    <w:rPr>
                      <w:rFonts w:ascii="Times New Roman" w:hAnsi="Times New Roman" w:cs="Times New Roman"/>
                      <w:sz w:val="22"/>
                      <w:szCs w:val="22"/>
                    </w:rPr>
                  </w:pPr>
                  <w:r>
                    <w:rPr>
                      <w:rFonts w:cs="Times New Roman" w:ascii="Times New Roman" w:hAnsi="Times New Roman"/>
                      <w:color w:val="000000"/>
                      <w:sz w:val="22"/>
                      <w:szCs w:val="22"/>
                    </w:rPr>
                    <w:t>з/п</w:t>
                  </w:r>
                </w:p>
              </w:tc>
              <w:tc>
                <w:tcPr>
                  <w:tcW w:w="1345" w:type="dxa"/>
                  <w:tcBorders>
                    <w:top w:val="single" w:sz="4" w:space="0" w:color="000000"/>
                    <w:left w:val="single" w:sz="4" w:space="0" w:color="000000"/>
                    <w:bottom w:val="single" w:sz="4" w:space="0" w:color="000000"/>
                  </w:tcBorders>
                  <w:shd w:color="auto" w:fill="auto" w:val="clear"/>
                  <w:vAlign w:val="center"/>
                </w:tcPr>
                <w:p>
                  <w:pPr>
                    <w:pStyle w:val="14"/>
                    <w:widowControl w:val="false"/>
                    <w:spacing w:lineRule="auto" w:line="252" w:before="0" w:after="200"/>
                    <w:contextualSpacing/>
                    <w:jc w:val="center"/>
                    <w:rPr>
                      <w:rFonts w:ascii="Times New Roman" w:hAnsi="Times New Roman" w:cs="Times New Roman"/>
                      <w:sz w:val="22"/>
                      <w:szCs w:val="22"/>
                    </w:rPr>
                  </w:pPr>
                  <w:r>
                    <w:rPr>
                      <w:rFonts w:cs="Times New Roman" w:ascii="Times New Roman" w:hAnsi="Times New Roman"/>
                      <w:color w:val="000000"/>
                      <w:sz w:val="22"/>
                      <w:szCs w:val="22"/>
                    </w:rPr>
                    <w:t>Замовник,</w:t>
                  </w:r>
                  <w:r>
                    <w:rPr>
                      <w:rFonts w:cs="Times New Roman" w:ascii="Times New Roman" w:hAnsi="Times New Roman"/>
                      <w:color w:val="000000"/>
                      <w:sz w:val="22"/>
                      <w:szCs w:val="22"/>
                      <w:lang w:val="uk-UA"/>
                    </w:rPr>
                    <w:t xml:space="preserve"> його код ЄДРПОУ,</w:t>
                  </w:r>
                  <w:r>
                    <w:rPr>
                      <w:rFonts w:cs="Times New Roman" w:ascii="Times New Roman" w:hAnsi="Times New Roman"/>
                      <w:color w:val="000000"/>
                      <w:sz w:val="22"/>
                      <w:szCs w:val="22"/>
                    </w:rPr>
                    <w:t xml:space="preserve"> адреса, телефон, ПІБ керівника</w:t>
                  </w:r>
                </w:p>
              </w:tc>
              <w:tc>
                <w:tcPr>
                  <w:tcW w:w="1275" w:type="dxa"/>
                  <w:tcBorders>
                    <w:top w:val="single" w:sz="4" w:space="0" w:color="000000"/>
                    <w:left w:val="single" w:sz="4" w:space="0" w:color="000000"/>
                    <w:bottom w:val="single" w:sz="4" w:space="0" w:color="000000"/>
                  </w:tcBorders>
                  <w:shd w:color="auto" w:fill="auto" w:val="clear"/>
                  <w:vAlign w:val="center"/>
                </w:tcPr>
                <w:p>
                  <w:pPr>
                    <w:pStyle w:val="14"/>
                    <w:widowControl w:val="false"/>
                    <w:spacing w:lineRule="auto" w:line="252" w:before="0" w:after="200"/>
                    <w:contextualSpacing/>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Предмет</w:t>
                  </w:r>
                </w:p>
                <w:p>
                  <w:pPr>
                    <w:pStyle w:val="14"/>
                    <w:widowControl w:val="false"/>
                    <w:spacing w:lineRule="auto" w:line="252" w:before="0" w:after="200"/>
                    <w:contextualSpacing/>
                    <w:jc w:val="center"/>
                    <w:rPr>
                      <w:rFonts w:ascii="Times New Roman" w:hAnsi="Times New Roman" w:cs="Times New Roman"/>
                      <w:color w:val="000000" w:themeColor="text1"/>
                      <w:sz w:val="22"/>
                      <w:szCs w:val="22"/>
                      <w:lang w:val="uk-UA"/>
                    </w:rPr>
                  </w:pPr>
                  <w:r>
                    <w:rPr>
                      <w:rFonts w:cs="Times New Roman" w:ascii="Times New Roman" w:hAnsi="Times New Roman"/>
                      <w:color w:val="000000" w:themeColor="text1"/>
                      <w:sz w:val="22"/>
                      <w:szCs w:val="22"/>
                    </w:rPr>
                    <w:t>договору</w:t>
                  </w:r>
                  <w:r>
                    <w:rPr>
                      <w:rFonts w:cs="Times New Roman" w:ascii="Times New Roman" w:hAnsi="Times New Roman"/>
                      <w:color w:val="000000" w:themeColor="text1"/>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color="auto" w:fill="auto" w:val="clear"/>
                  <w:vAlign w:val="center"/>
                </w:tcPr>
                <w:p>
                  <w:pPr>
                    <w:pStyle w:val="14"/>
                    <w:widowControl w:val="false"/>
                    <w:spacing w:lineRule="auto" w:line="252" w:before="0" w:after="200"/>
                    <w:contextualSpacing/>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Сума договору,</w:t>
                  </w:r>
                </w:p>
                <w:p>
                  <w:pPr>
                    <w:pStyle w:val="14"/>
                    <w:widowControl w:val="false"/>
                    <w:spacing w:lineRule="auto" w:line="252" w:before="0" w:after="200"/>
                    <w:contextualSpacing/>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(грн.)</w:t>
                  </w:r>
                </w:p>
              </w:tc>
              <w:tc>
                <w:tcPr>
                  <w:tcW w:w="1128" w:type="dxa"/>
                  <w:tcBorders>
                    <w:top w:val="single" w:sz="4" w:space="0" w:color="000000"/>
                    <w:left w:val="single" w:sz="4" w:space="0" w:color="000000"/>
                    <w:bottom w:val="single" w:sz="4" w:space="0" w:color="000000"/>
                  </w:tcBorders>
                  <w:shd w:color="auto" w:fill="auto" w:val="clear"/>
                  <w:vAlign w:val="center"/>
                </w:tcPr>
                <w:p>
                  <w:pPr>
                    <w:pStyle w:val="14"/>
                    <w:widowControl w:val="false"/>
                    <w:spacing w:lineRule="auto" w:line="252" w:before="0" w:after="200"/>
                    <w:contextualSpacing/>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spacing w:lineRule="auto" w:line="252" w:before="0" w:after="200"/>
                    <w:contextualSpacing/>
                    <w:jc w:val="center"/>
                    <w:rPr>
                      <w:rFonts w:ascii="Times New Roman" w:hAnsi="Times New Roman" w:cs="Times New Roman"/>
                      <w:sz w:val="22"/>
                      <w:szCs w:val="22"/>
                    </w:rPr>
                  </w:pPr>
                  <w:r>
                    <w:rPr>
                      <w:rFonts w:cs="Times New Roman" w:ascii="Times New Roman" w:hAnsi="Times New Roman"/>
                      <w:color w:val="000000"/>
                      <w:sz w:val="22"/>
                      <w:szCs w:val="22"/>
                    </w:rPr>
                    <w:t>Стан</w:t>
                  </w:r>
                </w:p>
                <w:p>
                  <w:pPr>
                    <w:pStyle w:val="14"/>
                    <w:widowControl w:val="false"/>
                    <w:spacing w:lineRule="auto" w:line="252" w:before="0" w:after="200"/>
                    <w:ind w:right="175" w:hanging="0"/>
                    <w:contextualSpacing/>
                    <w:jc w:val="center"/>
                    <w:rPr>
                      <w:rFonts w:ascii="Times New Roman" w:hAnsi="Times New Roman" w:cs="Times New Roman"/>
                      <w:sz w:val="22"/>
                      <w:szCs w:val="22"/>
                    </w:rPr>
                  </w:pPr>
                  <w:r>
                    <w:rPr>
                      <w:rFonts w:cs="Times New Roman" w:ascii="Times New Roman" w:hAnsi="Times New Roman"/>
                      <w:color w:val="000000"/>
                      <w:sz w:val="22"/>
                      <w:szCs w:val="22"/>
                      <w:lang w:val="uk-UA"/>
                    </w:rPr>
                    <w:t>в</w:t>
                  </w:r>
                  <w:r>
                    <w:rPr>
                      <w:rFonts w:cs="Times New Roman" w:ascii="Times New Roman" w:hAnsi="Times New Roman"/>
                      <w:color w:val="000000"/>
                      <w:sz w:val="22"/>
                      <w:szCs w:val="22"/>
                    </w:rPr>
                    <w:t>ико</w:t>
                  </w:r>
                  <w:r>
                    <w:rPr>
                      <w:rFonts w:cs="Times New Roman" w:ascii="Times New Roman" w:hAnsi="Times New Roman"/>
                      <w:color w:val="000000"/>
                      <w:sz w:val="22"/>
                      <w:szCs w:val="22"/>
                      <w:lang w:val="uk-UA"/>
                    </w:rPr>
                    <w:t>-</w:t>
                  </w:r>
                  <w:r>
                    <w:rPr>
                      <w:rFonts w:cs="Times New Roman" w:ascii="Times New Roman" w:hAnsi="Times New Roman"/>
                      <w:color w:val="000000"/>
                      <w:sz w:val="22"/>
                      <w:szCs w:val="22"/>
                    </w:rPr>
                    <w:t>нання</w:t>
                  </w:r>
                </w:p>
                <w:p>
                  <w:pPr>
                    <w:pStyle w:val="14"/>
                    <w:widowControl w:val="false"/>
                    <w:spacing w:lineRule="auto" w:line="252" w:before="0" w:after="200"/>
                    <w:contextualSpacing/>
                    <w:jc w:val="center"/>
                    <w:rPr>
                      <w:rFonts w:ascii="Times New Roman" w:hAnsi="Times New Roman" w:cs="Times New Roman"/>
                      <w:sz w:val="22"/>
                      <w:szCs w:val="22"/>
                    </w:rPr>
                  </w:pPr>
                  <w:r>
                    <w:rPr>
                      <w:rFonts w:eastAsia="Arial" w:cs="Times New Roman" w:ascii="Times New Roman" w:hAnsi="Times New Roman"/>
                      <w:color w:val="000000"/>
                      <w:sz w:val="22"/>
                      <w:szCs w:val="22"/>
                    </w:rPr>
                    <w:t xml:space="preserve"> </w:t>
                  </w:r>
                </w:p>
              </w:tc>
            </w:tr>
            <w:tr>
              <w:trPr>
                <w:trHeight w:val="490" w:hRule="atLeast"/>
              </w:trPr>
              <w:tc>
                <w:tcPr>
                  <w:tcW w:w="576" w:type="dxa"/>
                  <w:tcBorders>
                    <w:top w:val="single" w:sz="4" w:space="0" w:color="000000"/>
                    <w:left w:val="single" w:sz="4" w:space="0" w:color="000000"/>
                    <w:bottom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14"/>
                    <w:widowControl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c>
                <w:tcPr>
                  <w:tcW w:w="1345" w:type="dxa"/>
                  <w:tcBorders>
                    <w:top w:val="single" w:sz="4" w:space="0" w:color="000000"/>
                    <w:left w:val="single" w:sz="4" w:space="0" w:color="000000"/>
                    <w:bottom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c>
                <w:tcPr>
                  <w:tcW w:w="1275" w:type="dxa"/>
                  <w:tcBorders>
                    <w:top w:val="single" w:sz="4" w:space="0" w:color="000000"/>
                    <w:left w:val="single" w:sz="4" w:space="0" w:color="000000"/>
                    <w:bottom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c>
                <w:tcPr>
                  <w:tcW w:w="1134" w:type="dxa"/>
                  <w:tcBorders>
                    <w:top w:val="single" w:sz="4" w:space="0" w:color="000000"/>
                    <w:left w:val="single" w:sz="4" w:space="0" w:color="000000"/>
                    <w:bottom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c>
                <w:tcPr>
                  <w:tcW w:w="1128" w:type="dxa"/>
                  <w:tcBorders>
                    <w:top w:val="single" w:sz="4" w:space="0" w:color="000000"/>
                    <w:left w:val="single" w:sz="4" w:space="0" w:color="000000"/>
                    <w:bottom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c>
                <w:tcPr>
                  <w:tcW w:w="999" w:type="dxa"/>
                  <w:tcBorders>
                    <w:top w:val="single" w:sz="4" w:space="0" w:color="000000"/>
                    <w:left w:val="single" w:sz="4" w:space="0" w:color="000000"/>
                    <w:bottom w:val="single" w:sz="4" w:space="0" w:color="000000"/>
                    <w:right w:val="single" w:sz="4" w:space="0" w:color="000000"/>
                  </w:tcBorders>
                  <w:shd w:color="auto" w:fill="auto" w:val="clear"/>
                </w:tcPr>
                <w:p>
                  <w:pPr>
                    <w:pStyle w:val="14"/>
                    <w:widowControl w:val="false"/>
                    <w:snapToGrid w:val="false"/>
                    <w:spacing w:lineRule="auto" w:line="252" w:before="0" w:after="200"/>
                    <w:ind w:left="720" w:hanging="0"/>
                    <w:contextualSpacing/>
                    <w:rPr>
                      <w:rFonts w:ascii="Times New Roman" w:hAnsi="Times New Roman" w:cs="Times New Roman"/>
                      <w:color w:val="000000"/>
                      <w:sz w:val="22"/>
                      <w:szCs w:val="22"/>
                      <w:lang w:eastAsia="en-US"/>
                    </w:rPr>
                  </w:pPr>
                  <w:r>
                    <w:rPr>
                      <w:rFonts w:cs="Times New Roman" w:ascii="Times New Roman" w:hAnsi="Times New Roman"/>
                      <w:color w:val="000000"/>
                      <w:sz w:val="22"/>
                      <w:szCs w:val="22"/>
                      <w:lang w:eastAsia="en-US"/>
                    </w:rPr>
                  </w:r>
                </w:p>
              </w:tc>
            </w:tr>
          </w:tbl>
          <w:p>
            <w:pPr>
              <w:pStyle w:val="ListParagraph"/>
              <w:widowControl w:val="false"/>
              <w:numPr>
                <w:ilvl w:val="0"/>
                <w:numId w:val="16"/>
              </w:numPr>
              <w:suppressAutoHyphens w:val="true"/>
              <w:spacing w:lineRule="auto" w:line="252"/>
              <w:ind w:left="38" w:firstLine="425"/>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ListParagraph"/>
              <w:widowControl w:val="false"/>
              <w:numPr>
                <w:ilvl w:val="0"/>
                <w:numId w:val="14"/>
              </w:numPr>
              <w:suppressAutoHyphens w:val="true"/>
              <w:spacing w:lineRule="auto" w:line="252" w:before="0" w:after="160"/>
              <w:ind w:left="38" w:firstLine="425"/>
              <w:contextualSpacing/>
              <w:jc w:val="both"/>
              <w:rPr>
                <w:rFonts w:ascii="Times New Roman" w:hAnsi="Times New Roman" w:eastAsia="Times New Roman" w:cs="Times New Roman"/>
                <w:lang w:eastAsia="ru-RU"/>
              </w:rPr>
            </w:pPr>
            <w:r>
              <w:rPr>
                <w:rFonts w:cs="Times New Roman" w:ascii="Times New Roman" w:hAnsi="Times New Roman"/>
              </w:rPr>
              <w:t xml:space="preserve">копія(ї) документа(ів) на підтвердження виконання </w:t>
            </w:r>
            <w:r>
              <w:rPr>
                <w:rFonts w:cs="Times New Roman" w:ascii="Times New Roman" w:hAnsi="Times New Roman"/>
                <w:b/>
              </w:rPr>
              <w:t>(видаткова накладна, або акт приймання-передачі, або інший документ</w:t>
            </w:r>
            <w:r>
              <w:rPr>
                <w:rFonts w:cs="Times New Roman" w:ascii="Times New Roman" w:hAnsi="Times New Roman"/>
              </w:rPr>
              <w:t>) не менше ніж одного договору, зазначеного в наданій Учасником довідці</w:t>
            </w:r>
            <w:r>
              <w:rPr>
                <w:rFonts w:cs="Times New Roman" w:ascii="Times New Roman" w:hAnsi="Times New Roman"/>
                <w:color w:val="000000"/>
              </w:rPr>
              <w:t>.</w:t>
            </w:r>
          </w:p>
        </w:tc>
      </w:tr>
    </w:tbl>
    <w:p>
      <w:pPr>
        <w:pStyle w:val="Normal"/>
        <w:spacing w:before="240" w:after="0"/>
        <w:ind w:firstLine="72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20" w:after="20"/>
        <w:jc w:val="both"/>
        <w:rPr>
          <w:b/>
          <w:b/>
          <w:highlight w:val="white"/>
        </w:rPr>
      </w:pPr>
      <w:r>
        <w:rPr>
          <w:b/>
          <w:sz w:val="20"/>
          <w:szCs w:val="20"/>
        </w:rPr>
        <w:t xml:space="preserve">2. </w:t>
      </w:r>
      <w:r>
        <w:rPr>
          <w:b/>
          <w:color w:val="000000"/>
          <w:sz w:val="20"/>
          <w:szCs w:val="2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м у пункті 47 Особливостей.</w:t>
      </w:r>
    </w:p>
    <w:p>
      <w:pPr>
        <w:pStyle w:val="Normal"/>
        <w:ind w:firstLine="567"/>
        <w:jc w:val="both"/>
        <w:rPr>
          <w:sz w:val="20"/>
          <w:szCs w:val="20"/>
          <w:highlight w:val="white"/>
        </w:rPr>
      </w:pPr>
      <w:r>
        <w:rPr>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sz w:val="20"/>
          <w:szCs w:val="20"/>
        </w:rPr>
      </w:pPr>
      <w:r>
        <w:rPr>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sz w:val="20"/>
          <w:szCs w:val="20"/>
        </w:rPr>
      </w:pPr>
      <w:r>
        <w:rPr>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pBdr/>
        <w:ind w:firstLine="567"/>
        <w:jc w:val="both"/>
        <w:rPr>
          <w:sz w:val="20"/>
          <w:szCs w:val="20"/>
        </w:rPr>
      </w:pPr>
      <w:r>
        <w:rPr>
          <w:sz w:val="20"/>
          <w:szCs w:val="20"/>
        </w:rPr>
        <w:t xml:space="preserve">Учасник  повинен надати </w:t>
      </w:r>
      <w:r>
        <w:rPr>
          <w:b/>
          <w:sz w:val="20"/>
          <w:szCs w:val="20"/>
        </w:rPr>
        <w:t>довідку у довільній формі</w:t>
      </w:r>
      <w:r>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pBdr/>
        <w:ind w:firstLine="567"/>
        <w:jc w:val="both"/>
        <w:rPr>
          <w:sz w:val="20"/>
          <w:szCs w:val="20"/>
        </w:rPr>
      </w:pPr>
      <w:r>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sz w:val="20"/>
          <w:szCs w:val="20"/>
        </w:rPr>
        <w:t>(у разі застосування таких критеріїв до учасника процедури закупівлі)</w:t>
      </w:r>
      <w:r>
        <w:rPr>
          <w:sz w:val="20"/>
          <w:szCs w:val="20"/>
        </w:rPr>
        <w:t>, замовник перевіряє таких суб’єктів господарювання щодо відсутності</w:t>
      </w:r>
      <w:r>
        <w:rPr>
          <w:sz w:val="28"/>
          <w:szCs w:val="28"/>
        </w:rPr>
        <w:t xml:space="preserve"> </w:t>
      </w:r>
      <w:r>
        <w:rPr>
          <w:sz w:val="20"/>
          <w:szCs w:val="20"/>
        </w:rPr>
        <w:t>підстав, визначених пунктом 47 Особливостей.</w:t>
      </w:r>
    </w:p>
    <w:p>
      <w:pPr>
        <w:pStyle w:val="Normal"/>
        <w:spacing w:before="0" w:after="80"/>
        <w:jc w:val="both"/>
        <w:rPr>
          <w:sz w:val="20"/>
          <w:szCs w:val="20"/>
        </w:rPr>
      </w:pPr>
      <w:r>
        <w:rPr>
          <w:sz w:val="20"/>
          <w:szCs w:val="20"/>
        </w:rPr>
      </w:r>
    </w:p>
    <w:p>
      <w:pPr>
        <w:pStyle w:val="Normal"/>
        <w:pBdr/>
        <w:jc w:val="both"/>
        <w:rPr>
          <w:b/>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Pr>
          <w:b/>
          <w:bCs/>
          <w:highlight w:val="white"/>
        </w:rPr>
        <w:t xml:space="preserve">47 </w:t>
      </w:r>
      <w:r>
        <w:rPr>
          <w:b/>
          <w:highlight w:val="white"/>
        </w:rPr>
        <w:t>Особливостей:</w:t>
      </w:r>
    </w:p>
    <w:p>
      <w:pPr>
        <w:pStyle w:val="Normal"/>
        <w:widowControl w:val="false"/>
        <w:pBdr/>
        <w:ind w:firstLine="567"/>
        <w:jc w:val="both"/>
        <w:rPr>
          <w:sz w:val="20"/>
          <w:szCs w:val="20"/>
          <w:highlight w:val="white"/>
        </w:rPr>
      </w:pPr>
      <w:r>
        <w:rPr>
          <w:sz w:val="20"/>
          <w:szCs w:val="20"/>
          <w:highlight w:val="white"/>
        </w:rPr>
        <w:t xml:space="preserve">Переможець процедури закупівлі у строк, що </w:t>
      </w:r>
      <w:r>
        <w:rPr>
          <w:b/>
          <w:i/>
          <w:sz w:val="20"/>
          <w:szCs w:val="20"/>
          <w:highlight w:val="white"/>
        </w:rPr>
        <w:t xml:space="preserve">не перевищує чотири дні </w:t>
      </w:r>
      <w:r>
        <w:rPr>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b/>
          <w:bCs/>
          <w:sz w:val="20"/>
          <w:szCs w:val="20"/>
          <w:highlight w:val="white"/>
          <w:u w:val="single"/>
        </w:rPr>
        <w:t xml:space="preserve">3, 5, 6 і 12 та в абзаці чотирнадцятому пункту </w:t>
      </w:r>
      <w:r>
        <w:rPr>
          <w:b/>
          <w:bCs/>
          <w:color w:val="000000" w:themeColor="text1"/>
          <w:sz w:val="20"/>
          <w:szCs w:val="20"/>
          <w:highlight w:val="white"/>
          <w:u w:val="single"/>
        </w:rPr>
        <w:t xml:space="preserve">47 </w:t>
      </w:r>
      <w:r>
        <w:rPr>
          <w:b/>
          <w:bCs/>
          <w:sz w:val="20"/>
          <w:szCs w:val="20"/>
          <w:highlight w:val="white"/>
          <w:u w:val="single"/>
        </w:rPr>
        <w:t>Особливостей</w:t>
      </w:r>
      <w:r>
        <w:rPr>
          <w:sz w:val="20"/>
          <w:szCs w:val="20"/>
          <w:highlight w:val="white"/>
        </w:rPr>
        <w:t xml:space="preserve">. </w:t>
      </w:r>
    </w:p>
    <w:p>
      <w:pPr>
        <w:pStyle w:val="Normal"/>
        <w:widowControl w:val="false"/>
        <w:pBdr/>
        <w:ind w:firstLine="567"/>
        <w:jc w:val="both"/>
        <w:rPr>
          <w:sz w:val="20"/>
          <w:szCs w:val="20"/>
        </w:rPr>
      </w:pPr>
      <w:r>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b/>
          <w:b/>
          <w:sz w:val="20"/>
          <w:szCs w:val="20"/>
          <w:highlight w:val="white"/>
        </w:rPr>
      </w:pPr>
      <w:r>
        <w:rPr>
          <w:b/>
          <w:sz w:val="20"/>
          <w:szCs w:val="20"/>
          <w:highlight w:val="white"/>
        </w:rPr>
      </w:r>
    </w:p>
    <w:p>
      <w:pPr>
        <w:pStyle w:val="Normal"/>
        <w:rPr>
          <w:b/>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296"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764"/>
        <w:gridCol w:w="4351"/>
        <w:gridCol w:w="5181"/>
      </w:tblGrid>
      <w:tr>
        <w:trPr>
          <w:trHeight w:val="854"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highlight w:val="white"/>
              </w:rPr>
            </w:pPr>
            <w:r>
              <w:rPr>
                <w:b/>
                <w:sz w:val="20"/>
                <w:szCs w:val="20"/>
                <w:highlight w:val="white"/>
              </w:rPr>
              <w:t>№</w:t>
            </w:r>
          </w:p>
          <w:p>
            <w:pPr>
              <w:pStyle w:val="Normal"/>
              <w:widowControl w:val="false"/>
              <w:ind w:left="100" w:hanging="0"/>
              <w:jc w:val="center"/>
              <w:rPr>
                <w:sz w:val="20"/>
                <w:szCs w:val="20"/>
                <w:highlight w:val="white"/>
              </w:rPr>
            </w:pPr>
            <w:r>
              <w:rPr>
                <w:b/>
                <w:sz w:val="20"/>
                <w:szCs w:val="20"/>
                <w:highlight w:val="white"/>
              </w:rPr>
              <w:t>з/п</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highlight w:val="white"/>
              </w:rPr>
            </w:pPr>
            <w:r>
              <w:rPr>
                <w:b/>
                <w:sz w:val="20"/>
                <w:szCs w:val="20"/>
                <w:highlight w:val="white"/>
              </w:rPr>
              <w:t xml:space="preserve">Вимоги згідно п. </w:t>
            </w:r>
            <w:r>
              <w:rPr>
                <w:sz w:val="20"/>
                <w:szCs w:val="20"/>
                <w:highlight w:val="white"/>
              </w:rPr>
              <w:t>47</w:t>
            </w:r>
            <w:r>
              <w:rPr>
                <w:b/>
                <w:sz w:val="20"/>
                <w:szCs w:val="20"/>
                <w:highlight w:val="white"/>
              </w:rPr>
              <w:t xml:space="preserve"> Особливостей</w:t>
            </w:r>
          </w:p>
          <w:p>
            <w:pPr>
              <w:pStyle w:val="Normal"/>
              <w:widowControl w:val="false"/>
              <w:ind w:left="100" w:hanging="0"/>
              <w:jc w:val="center"/>
              <w:rPr>
                <w:b/>
                <w:b/>
                <w:sz w:val="20"/>
                <w:szCs w:val="20"/>
                <w:highlight w:val="white"/>
              </w:rPr>
            </w:pPr>
            <w:r>
              <w:rPr>
                <w:b/>
                <w:sz w:val="20"/>
                <w:szCs w:val="20"/>
                <w:highlight w:val="white"/>
              </w:rPr>
            </w:r>
          </w:p>
        </w:tc>
        <w:tc>
          <w:tcPr>
            <w:tcW w:w="51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highlight w:val="white"/>
              </w:rPr>
            </w:pPr>
            <w:r>
              <w:rPr>
                <w:b/>
                <w:sz w:val="20"/>
                <w:szCs w:val="20"/>
                <w:highlight w:val="white"/>
              </w:rPr>
              <w:t xml:space="preserve">Переможець торгів на виконання вимоги згідно п. </w:t>
            </w:r>
            <w:r>
              <w:rPr>
                <w:sz w:val="20"/>
                <w:szCs w:val="20"/>
                <w:highlight w:val="white"/>
              </w:rPr>
              <w:t>47</w:t>
            </w:r>
            <w:r>
              <w:rPr>
                <w:b/>
                <w:sz w:val="20"/>
                <w:szCs w:val="20"/>
                <w:highlight w:val="white"/>
              </w:rPr>
              <w:t xml:space="preserve"> Особливостей (підтвердження відсутності підстав) повинен надати таку інформацію:</w:t>
            </w:r>
          </w:p>
        </w:tc>
      </w:tr>
      <w:tr>
        <w:trPr>
          <w:trHeight w:val="172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highlight w:val="white"/>
              </w:rPr>
            </w:pPr>
            <w:r>
              <w:rPr>
                <w:b/>
                <w:sz w:val="20"/>
                <w:szCs w:val="20"/>
                <w:highlight w:val="white"/>
              </w:rPr>
              <w:t>1</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before="120" w:after="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highlight w:val="white"/>
              </w:rPr>
            </w:pPr>
            <w:r>
              <w:rPr>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highlight w:val="white"/>
              </w:rPr>
            </w:pPr>
            <w:r>
              <w:rPr>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highlight w:val="white"/>
              </w:rPr>
              <w:t>керівника</w:t>
            </w:r>
            <w:r>
              <w:rPr>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highlight w:val="white"/>
              </w:rPr>
            </w:pPr>
            <w:r>
              <w:rPr>
                <w:b/>
                <w:sz w:val="20"/>
                <w:szCs w:val="20"/>
                <w:highlight w:val="white"/>
              </w:rPr>
              <w:t>2</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before="120" w:after="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sz w:val="20"/>
                <w:szCs w:val="20"/>
                <w:highlight w:val="white"/>
              </w:rPr>
            </w:pPr>
            <w:r>
              <w:rPr>
                <w:sz w:val="20"/>
                <w:szCs w:val="20"/>
                <w:highlight w:val="white"/>
              </w:rPr>
              <w:t>(підпункт 6 пункт</w:t>
            </w:r>
            <w:r>
              <w:rPr>
                <w:b/>
                <w:sz w:val="20"/>
                <w:szCs w:val="20"/>
                <w:highlight w:val="white"/>
              </w:rPr>
              <w:t xml:space="preserve"> 47</w:t>
            </w:r>
            <w:r>
              <w:rPr>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Pr>
          <w:p>
            <w:pPr>
              <w:pStyle w:val="Normal"/>
              <w:widowControl w:val="false"/>
              <w:jc w:val="both"/>
              <w:rPr>
                <w:b/>
                <w:b/>
                <w:sz w:val="20"/>
                <w:szCs w:val="20"/>
                <w:highlight w:val="white"/>
              </w:rPr>
            </w:pPr>
            <w:r>
              <w:rPr>
                <w:b/>
                <w:sz w:val="20"/>
                <w:szCs w:val="20"/>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pPr>
              <w:pStyle w:val="Normal"/>
              <w:widowControl w:val="false"/>
              <w:jc w:val="both"/>
              <w:rPr>
                <w:b/>
                <w:b/>
                <w:sz w:val="20"/>
                <w:szCs w:val="20"/>
                <w:highlight w:val="white"/>
              </w:rPr>
            </w:pPr>
            <w:r>
              <w:rPr>
                <w:b/>
                <w:sz w:val="20"/>
                <w:szCs w:val="20"/>
                <w:highlight w:val="white"/>
              </w:rPr>
            </w:r>
          </w:p>
          <w:p>
            <w:pPr>
              <w:pStyle w:val="Normal"/>
              <w:widowControl w:val="false"/>
              <w:jc w:val="both"/>
              <w:rPr>
                <w:sz w:val="20"/>
                <w:szCs w:val="20"/>
                <w:highlight w:val="white"/>
              </w:rPr>
            </w:pPr>
            <w:r>
              <w:rPr>
                <w:b/>
                <w:sz w:val="20"/>
                <w:szCs w:val="20"/>
                <w:highlight w:val="white"/>
              </w:rPr>
              <w:t>Документ повинен бути не більше тридцяти денної давнини від дати подання документа.</w:t>
            </w:r>
            <w:r>
              <w:rPr>
                <w:sz w:val="20"/>
                <w:szCs w:val="20"/>
                <w:highlight w:val="white"/>
              </w:rPr>
              <w:t> </w:t>
            </w:r>
          </w:p>
        </w:tc>
      </w:tr>
      <w:tr>
        <w:trPr>
          <w:trHeight w:val="1880"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highlight w:val="white"/>
              </w:rPr>
            </w:pPr>
            <w:r>
              <w:rPr>
                <w:b/>
                <w:sz w:val="20"/>
                <w:szCs w:val="20"/>
                <w:highlight w:val="white"/>
              </w:rPr>
              <w:t>3</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before="120" w:after="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b/>
                <w:b/>
                <w:sz w:val="20"/>
                <w:szCs w:val="20"/>
                <w:highlight w:val="white"/>
              </w:rPr>
            </w:pPr>
            <w:r>
              <w:rPr>
                <w:b/>
                <w:sz w:val="20"/>
                <w:szCs w:val="20"/>
                <w:highlight w:val="white"/>
              </w:rPr>
              <w:t>(підпункт 12 пункт 47 Особливостей)</w:t>
            </w:r>
          </w:p>
        </w:tc>
        <w:tc>
          <w:tcPr>
            <w:tcW w:w="5181" w:type="dxa"/>
            <w:vMerge w:val="continue"/>
            <w:tcBorders>
              <w:top w:val="single" w:sz="8" w:space="0" w:color="000000"/>
              <w:left w:val="single" w:sz="8" w:space="0" w:color="000000"/>
              <w:right w:val="single" w:sz="8" w:space="0" w:color="000000"/>
            </w:tcBorders>
          </w:tcPr>
          <w:p>
            <w:pPr>
              <w:pStyle w:val="Normal"/>
              <w:widowControl w:val="false"/>
              <w:pBdr/>
              <w:spacing w:lineRule="auto" w:line="276"/>
              <w:rPr>
                <w:b/>
                <w:b/>
                <w:sz w:val="20"/>
                <w:szCs w:val="20"/>
              </w:rPr>
            </w:pPr>
            <w:r>
              <w:rPr>
                <w:b/>
                <w:sz w:val="20"/>
                <w:szCs w:val="20"/>
              </w:rPr>
            </w:r>
          </w:p>
        </w:tc>
      </w:tr>
      <w:tr>
        <w:trPr>
          <w:trHeight w:val="86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highlight w:val="white"/>
              </w:rPr>
            </w:pPr>
            <w:r>
              <w:rPr>
                <w:b/>
                <w:sz w:val="20"/>
                <w:szCs w:val="20"/>
                <w:highlight w:val="white"/>
              </w:rPr>
              <w:t>4</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pBdr/>
              <w:jc w:val="both"/>
              <w:rPr>
                <w:sz w:val="20"/>
                <w:szCs w:val="20"/>
                <w:highlight w:val="white"/>
              </w:rPr>
            </w:pPr>
            <w:r>
              <w:rPr>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pBdr/>
              <w:jc w:val="both"/>
              <w:rPr>
                <w:b/>
                <w:b/>
                <w:sz w:val="20"/>
                <w:szCs w:val="20"/>
                <w:highlight w:val="white"/>
              </w:rPr>
            </w:pPr>
            <w:r>
              <w:rPr>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before="0" w:after="348"/>
              <w:jc w:val="both"/>
              <w:rPr>
                <w:sz w:val="20"/>
                <w:szCs w:val="20"/>
                <w:highlight w:val="white"/>
              </w:rPr>
            </w:pPr>
            <w:r>
              <w:rPr>
                <w:b/>
                <w:sz w:val="20"/>
                <w:szCs w:val="20"/>
                <w:highlight w:val="white"/>
              </w:rPr>
              <w:t>Довідка в довільній формі</w:t>
            </w:r>
            <w:r>
              <w:rPr>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before="240" w:after="0"/>
        <w:jc w:val="center"/>
        <w:rPr>
          <w:sz w:val="20"/>
          <w:szCs w:val="20"/>
        </w:rPr>
      </w:pPr>
      <w:r>
        <w:rPr>
          <w:b/>
          <w:sz w:val="20"/>
          <w:szCs w:val="20"/>
        </w:rPr>
        <w:t>3.2. Документи, які надаються ПЕРЕМОЖЦЕМ (фізичною особою чи фізичною особою — підприємцем):</w:t>
      </w:r>
    </w:p>
    <w:tbl>
      <w:tblPr>
        <w:tblW w:w="10296"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586"/>
        <w:gridCol w:w="4428"/>
        <w:gridCol w:w="5282"/>
      </w:tblGrid>
      <w:tr>
        <w:trPr>
          <w:trHeight w:val="82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rPr>
            </w:pPr>
            <w:r>
              <w:rPr>
                <w:b/>
                <w:sz w:val="20"/>
                <w:szCs w:val="20"/>
              </w:rPr>
              <w:t>№</w:t>
            </w:r>
          </w:p>
          <w:p>
            <w:pPr>
              <w:pStyle w:val="Normal"/>
              <w:widowControl w:val="false"/>
              <w:ind w:left="100" w:hanging="0"/>
              <w:jc w:val="center"/>
              <w:rPr>
                <w:sz w:val="20"/>
                <w:szCs w:val="20"/>
              </w:rPr>
            </w:pPr>
            <w:r>
              <w:rPr>
                <w:b/>
                <w:sz w:val="20"/>
                <w:szCs w:val="20"/>
              </w:rPr>
              <w:t>з/п</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highlight w:val="white"/>
              </w:rPr>
            </w:pPr>
            <w:r>
              <w:rPr>
                <w:b/>
                <w:sz w:val="20"/>
                <w:szCs w:val="20"/>
                <w:highlight w:val="white"/>
              </w:rPr>
              <w:t xml:space="preserve">Вимоги </w:t>
            </w:r>
            <w:r>
              <w:rPr>
                <w:sz w:val="20"/>
                <w:szCs w:val="20"/>
                <w:highlight w:val="white"/>
              </w:rPr>
              <w:t xml:space="preserve">згідно пункту </w:t>
            </w:r>
            <w:r>
              <w:rPr>
                <w:b/>
                <w:sz w:val="20"/>
                <w:szCs w:val="20"/>
                <w:highlight w:val="white"/>
              </w:rPr>
              <w:t>47</w:t>
            </w:r>
            <w:r>
              <w:rPr>
                <w:sz w:val="20"/>
                <w:szCs w:val="20"/>
                <w:highlight w:val="white"/>
              </w:rPr>
              <w:t xml:space="preserve"> Особливостей</w:t>
            </w:r>
          </w:p>
          <w:p>
            <w:pPr>
              <w:pStyle w:val="Normal"/>
              <w:widowControl w:val="false"/>
              <w:ind w:left="100" w:hanging="0"/>
              <w:jc w:val="center"/>
              <w:rPr>
                <w:sz w:val="20"/>
                <w:szCs w:val="20"/>
                <w:highlight w:val="white"/>
              </w:rPr>
            </w:pPr>
            <w:r>
              <w:rPr>
                <w:sz w:val="20"/>
                <w:szCs w:val="20"/>
                <w:highlight w:val="white"/>
              </w:rPr>
            </w:r>
          </w:p>
        </w:tc>
        <w:tc>
          <w:tcPr>
            <w:tcW w:w="528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rPr>
            </w:pPr>
            <w:r>
              <w:rPr>
                <w:b/>
                <w:sz w:val="20"/>
                <w:szCs w:val="20"/>
              </w:rPr>
              <w:t xml:space="preserve">Переможець </w:t>
            </w:r>
            <w:r>
              <w:rPr>
                <w:b/>
                <w:sz w:val="20"/>
                <w:szCs w:val="20"/>
                <w:highlight w:val="white"/>
              </w:rPr>
              <w:t xml:space="preserve">торгів на виконання вимоги </w:t>
            </w:r>
            <w:r>
              <w:rPr>
                <w:sz w:val="20"/>
                <w:szCs w:val="20"/>
                <w:highlight w:val="white"/>
              </w:rPr>
              <w:t xml:space="preserve">згідно пункту </w:t>
            </w:r>
            <w:r>
              <w:rPr>
                <w:b/>
                <w:sz w:val="20"/>
                <w:szCs w:val="20"/>
                <w:highlight w:val="white"/>
              </w:rPr>
              <w:t>47</w:t>
            </w:r>
            <w:r>
              <w:rPr>
                <w:sz w:val="20"/>
                <w:szCs w:val="20"/>
                <w:highlight w:val="white"/>
              </w:rPr>
              <w:t xml:space="preserve"> Особ</w:t>
            </w:r>
            <w:r>
              <w:rPr>
                <w:sz w:val="20"/>
                <w:szCs w:val="20"/>
              </w:rPr>
              <w:t>ливостей</w:t>
            </w:r>
            <w:r>
              <w:rPr>
                <w:b/>
                <w:sz w:val="20"/>
                <w:szCs w:val="20"/>
              </w:rPr>
              <w:t xml:space="preserve"> (підтвердження відсутності підстав) повинен надати таку інформацію:</w:t>
            </w:r>
          </w:p>
        </w:tc>
      </w:tr>
      <w:tr>
        <w:trPr>
          <w:trHeight w:val="1723"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rPr>
            </w:pPr>
            <w:r>
              <w:rPr>
                <w:b/>
                <w:sz w:val="20"/>
                <w:szCs w:val="20"/>
              </w:rPr>
              <w:t>1</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before="120" w:after="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highlight w:val="white"/>
              </w:rPr>
            </w:pPr>
            <w:r>
              <w:rPr>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rPr>
            </w:pPr>
            <w:r>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rPr>
            </w:pPr>
            <w:r>
              <w:rPr>
                <w:b/>
                <w:sz w:val="20"/>
                <w:szCs w:val="20"/>
              </w:rPr>
              <w:t>2</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before="120" w:after="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pBdr/>
              <w:spacing w:before="120" w:after="0"/>
              <w:jc w:val="both"/>
              <w:rPr>
                <w:b/>
                <w:b/>
                <w:sz w:val="20"/>
                <w:szCs w:val="20"/>
                <w:highlight w:val="white"/>
              </w:rPr>
            </w:pPr>
            <w:r>
              <w:rPr>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Pr>
          <w:p>
            <w:pPr>
              <w:pStyle w:val="Normal"/>
              <w:widowControl w:val="false"/>
              <w:jc w:val="both"/>
              <w:rPr>
                <w:b/>
                <w:b/>
                <w:sz w:val="20"/>
                <w:szCs w:val="20"/>
                <w:highlight w:val="white"/>
              </w:rPr>
            </w:pPr>
            <w:r>
              <w:rPr>
                <w:b/>
                <w:sz w:val="20"/>
                <w:szCs w:val="20"/>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pPr>
              <w:pStyle w:val="Normal"/>
              <w:widowControl w:val="false"/>
              <w:jc w:val="both"/>
              <w:rPr>
                <w:b/>
                <w:b/>
                <w:sz w:val="20"/>
                <w:szCs w:val="20"/>
                <w:highlight w:val="white"/>
              </w:rPr>
            </w:pPr>
            <w:r>
              <w:rPr>
                <w:b/>
                <w:sz w:val="20"/>
                <w:szCs w:val="20"/>
                <w:highlight w:val="white"/>
              </w:rPr>
            </w:r>
          </w:p>
          <w:p>
            <w:pPr>
              <w:pStyle w:val="Normal"/>
              <w:widowControl w:val="false"/>
              <w:jc w:val="both"/>
              <w:rPr>
                <w:sz w:val="20"/>
                <w:szCs w:val="20"/>
              </w:rPr>
            </w:pPr>
            <w:r>
              <w:rPr>
                <w:b/>
                <w:sz w:val="20"/>
                <w:szCs w:val="20"/>
                <w:highlight w:val="white"/>
              </w:rPr>
              <w:t>Документ повинен бути не більше тридцятиденної давнини від дати подання документа.</w:t>
            </w:r>
            <w:r>
              <w:rPr>
                <w:sz w:val="20"/>
                <w:szCs w:val="20"/>
                <w:highlight w:val="white"/>
              </w:rPr>
              <w:t> </w:t>
            </w:r>
          </w:p>
        </w:tc>
      </w:tr>
      <w:tr>
        <w:trPr>
          <w:trHeight w:val="163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rPr>
            </w:pPr>
            <w:r>
              <w:rPr>
                <w:b/>
                <w:sz w:val="20"/>
                <w:szCs w:val="20"/>
              </w:rPr>
              <w:t>3</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before="120" w:after="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sz w:val="20"/>
                <w:szCs w:val="20"/>
                <w:highlight w:val="white"/>
              </w:rPr>
            </w:pPr>
            <w:r>
              <w:rPr>
                <w:b/>
                <w:sz w:val="20"/>
                <w:szCs w:val="20"/>
                <w:highlight w:val="white"/>
              </w:rPr>
              <w:t>(підпункт 12 пункт 47 Особливостей)</w:t>
            </w:r>
          </w:p>
        </w:tc>
        <w:tc>
          <w:tcPr>
            <w:tcW w:w="5282" w:type="dxa"/>
            <w:vMerge w:val="continue"/>
            <w:tcBorders>
              <w:top w:val="single" w:sz="8" w:space="0" w:color="000000"/>
              <w:left w:val="single" w:sz="8" w:space="0" w:color="000000"/>
              <w:right w:val="single" w:sz="8" w:space="0" w:color="000000"/>
            </w:tcBorders>
          </w:tcPr>
          <w:p>
            <w:pPr>
              <w:pStyle w:val="Normal"/>
              <w:widowControl w:val="false"/>
              <w:pBdr/>
              <w:spacing w:lineRule="auto" w:line="276"/>
              <w:rPr>
                <w:sz w:val="20"/>
                <w:szCs w:val="20"/>
              </w:rPr>
            </w:pPr>
            <w:r>
              <w:rPr>
                <w:sz w:val="20"/>
                <w:szCs w:val="20"/>
              </w:rPr>
            </w:r>
          </w:p>
        </w:tc>
      </w:tr>
      <w:tr>
        <w:trPr>
          <w:trHeight w:val="409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rPr>
            </w:pPr>
            <w:r>
              <w:rPr>
                <w:b/>
                <w:sz w:val="20"/>
                <w:szCs w:val="20"/>
              </w:rPr>
              <w:t>4</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jc w:val="both"/>
              <w:rPr>
                <w:sz w:val="20"/>
                <w:szCs w:val="20"/>
                <w:highlight w:val="white"/>
              </w:rPr>
            </w:pPr>
            <w:r>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pBdr/>
              <w:jc w:val="both"/>
              <w:rPr>
                <w:b/>
                <w:b/>
                <w:sz w:val="20"/>
                <w:szCs w:val="20"/>
                <w:highlight w:val="white"/>
              </w:rPr>
            </w:pPr>
            <w:r>
              <w:rPr>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Pr>
          <w:p>
            <w:pPr>
              <w:pStyle w:val="Normal"/>
              <w:widowControl w:val="false"/>
              <w:pBdr/>
              <w:spacing w:before="0" w:after="348"/>
              <w:jc w:val="both"/>
              <w:rPr>
                <w:sz w:val="20"/>
                <w:szCs w:val="20"/>
                <w:highlight w:val="yellow"/>
              </w:rPr>
            </w:pPr>
            <w:r>
              <w:rPr>
                <w:b/>
                <w:sz w:val="20"/>
                <w:szCs w:val="20"/>
              </w:rPr>
              <w:t>Довідка в довільній формі</w:t>
            </w:r>
            <w:r>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rPr>
          <w:sz w:val="20"/>
          <w:szCs w:val="20"/>
        </w:rPr>
      </w:pPr>
      <w:r>
        <w:rPr>
          <w:sz w:val="20"/>
          <w:szCs w:val="20"/>
        </w:rPr>
      </w:r>
    </w:p>
    <w:p>
      <w:pPr>
        <w:pStyle w:val="Normal"/>
        <w:shd w:val="clear" w:color="auto" w:fill="FFFFFF"/>
        <w:rPr>
          <w:b/>
          <w:b/>
          <w:sz w:val="20"/>
          <w:szCs w:val="20"/>
        </w:rPr>
      </w:pPr>
      <w:r>
        <w:rPr>
          <w:b/>
          <w:sz w:val="20"/>
          <w:szCs w:val="20"/>
        </w:rPr>
      </w:r>
    </w:p>
    <w:p>
      <w:pPr>
        <w:pStyle w:val="Normal"/>
        <w:spacing w:before="240" w:after="0"/>
        <w:rPr>
          <w:b/>
          <w:b/>
          <w:bCs/>
          <w:color w:val="000000"/>
        </w:rPr>
      </w:pPr>
      <w:r>
        <w:rPr>
          <w:b/>
          <w:bCs/>
          <w:color w:val="000000"/>
        </w:rPr>
        <w:t>Учасник процедури протягом одного робочого дня з дати визначення</w:t>
      </w:r>
      <w:r>
        <w:rPr/>
        <w:t xml:space="preserve"> його </w:t>
      </w:r>
      <w:r>
        <w:rPr>
          <w:b/>
          <w:bCs/>
          <w:color w:val="000000"/>
        </w:rPr>
        <w:t>тендерної пропозиції за результатами оцінки найбільш економічно вигідною, оприлюднює в електронній системі закупівель відкориговану за результатом аукціону (у разі проведення) «ТЕНДЕРНУ ПРОПОЗИЦІЮ» за формою, яка наведена у Додатку 4.1</w:t>
      </w:r>
    </w:p>
    <w:p>
      <w:pPr>
        <w:pStyle w:val="Normal"/>
        <w:shd w:val="clear" w:color="auto" w:fill="FFFFFF"/>
        <w:rPr>
          <w:b/>
          <w:b/>
          <w:sz w:val="20"/>
          <w:szCs w:val="20"/>
        </w:rPr>
      </w:pPr>
      <w:r>
        <w:rPr>
          <w:b/>
          <w:sz w:val="20"/>
          <w:szCs w:val="20"/>
        </w:rPr>
      </w:r>
    </w:p>
    <w:p>
      <w:pPr>
        <w:pStyle w:val="Normal"/>
        <w:shd w:val="clear" w:color="auto" w:fill="FFFFFF"/>
        <w:rPr>
          <w:b/>
          <w:b/>
          <w:sz w:val="20"/>
          <w:szCs w:val="20"/>
        </w:rPr>
      </w:pPr>
      <w:r>
        <w:rPr>
          <w:b/>
          <w:sz w:val="20"/>
          <w:szCs w:val="20"/>
        </w:rPr>
      </w:r>
    </w:p>
    <w:p>
      <w:pPr>
        <w:pStyle w:val="Normal"/>
        <w:shd w:val="clear" w:color="auto" w:fill="FFFFFF"/>
        <w:rPr>
          <w:sz w:val="20"/>
          <w:szCs w:val="20"/>
        </w:rPr>
      </w:pPr>
      <w:r>
        <w:rPr>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400"/>
        <w:gridCol w:w="9895"/>
      </w:tblGrid>
      <w:tr>
        <w:trPr>
          <w:trHeight w:val="124" w:hRule="atLeast"/>
        </w:trPr>
        <w:tc>
          <w:tcPr>
            <w:tcW w:w="10295"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sz w:val="20"/>
                <w:szCs w:val="20"/>
              </w:rPr>
            </w:pPr>
            <w:r>
              <w:rPr>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sz w:val="20"/>
                <w:szCs w:val="20"/>
              </w:rPr>
            </w:pPr>
            <w:r>
              <w:rPr>
                <w:b/>
                <w:color w:val="000000"/>
                <w:sz w:val="20"/>
                <w:szCs w:val="20"/>
              </w:rPr>
              <w:t>1</w:t>
            </w:r>
          </w:p>
        </w:tc>
        <w:tc>
          <w:tcPr>
            <w:tcW w:w="989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sz w:val="20"/>
                <w:szCs w:val="20"/>
              </w:rPr>
            </w:pPr>
            <w:r>
              <w:rPr>
                <w:b/>
                <w:color w:val="000000"/>
                <w:sz w:val="20"/>
                <w:szCs w:val="20"/>
              </w:rPr>
              <w:t>2</w:t>
            </w:r>
          </w:p>
        </w:tc>
        <w:tc>
          <w:tcPr>
            <w:tcW w:w="9895"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color w:val="000000"/>
                <w:sz w:val="20"/>
                <w:szCs w:val="20"/>
              </w:rPr>
            </w:pPr>
            <w:r>
              <w:rPr>
                <w:b/>
                <w:sz w:val="20"/>
                <w:szCs w:val="20"/>
              </w:rPr>
              <w:t>3</w:t>
            </w:r>
          </w:p>
        </w:tc>
        <w:tc>
          <w:tcPr>
            <w:tcW w:w="9895"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t xml:space="preserve"> є</w:t>
            </w:r>
            <w:r>
              <w:rPr>
                <w:sz w:val="20"/>
                <w:szCs w:val="20"/>
              </w:rPr>
              <w:t xml:space="preserve"> громадянином Російської Федерації / Республіки Білорусь</w:t>
            </w:r>
            <w:r>
              <w:rPr/>
              <w:t xml:space="preserve"> /</w:t>
            </w:r>
            <w:r>
              <w:rPr>
                <w:sz w:val="20"/>
                <w:szCs w:val="20"/>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6"/>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ind w:left="283" w:hanging="283"/>
              <w:jc w:val="both"/>
              <w:rPr>
                <w:i/>
                <w:i/>
                <w:sz w:val="20"/>
                <w:szCs w:val="20"/>
              </w:rPr>
            </w:pPr>
            <w:r>
              <w:rPr>
                <w:i/>
                <w:sz w:val="20"/>
                <w:szCs w:val="20"/>
              </w:rPr>
              <w:t>або</w:t>
            </w:r>
          </w:p>
          <w:p>
            <w:pPr>
              <w:pStyle w:val="Normal"/>
              <w:widowControl w:val="false"/>
              <w:numPr>
                <w:ilvl w:val="0"/>
                <w:numId w:val="7"/>
              </w:numPr>
              <w:ind w:left="283" w:hanging="283"/>
              <w:jc w:val="both"/>
              <w:rPr>
                <w:sz w:val="20"/>
                <w:szCs w:val="20"/>
              </w:rPr>
            </w:pPr>
            <w:r>
              <w:rPr>
                <w:sz w:val="20"/>
                <w:szCs w:val="20"/>
              </w:rPr>
              <w:t>посвідчення біженця чи документ, що підтверджує надання притулку в Україні,</w:t>
            </w:r>
          </w:p>
          <w:p>
            <w:pPr>
              <w:pStyle w:val="Normal"/>
              <w:widowControl w:val="false"/>
              <w:ind w:left="283" w:hanging="283"/>
              <w:jc w:val="both"/>
              <w:rPr>
                <w:i/>
                <w:i/>
                <w:sz w:val="20"/>
                <w:szCs w:val="20"/>
              </w:rPr>
            </w:pPr>
            <w:r>
              <w:rPr>
                <w:i/>
                <w:sz w:val="20"/>
                <w:szCs w:val="20"/>
              </w:rPr>
              <w:t>або</w:t>
            </w:r>
          </w:p>
          <w:p>
            <w:pPr>
              <w:pStyle w:val="Normal"/>
              <w:widowControl w:val="false"/>
              <w:numPr>
                <w:ilvl w:val="0"/>
                <w:numId w:val="2"/>
              </w:numPr>
              <w:ind w:left="283" w:hanging="283"/>
              <w:jc w:val="both"/>
              <w:rPr>
                <w:sz w:val="20"/>
                <w:szCs w:val="20"/>
              </w:rPr>
            </w:pPr>
            <w:r>
              <w:rPr>
                <w:sz w:val="20"/>
                <w:szCs w:val="20"/>
              </w:rPr>
              <w:t xml:space="preserve"> </w:t>
            </w:r>
            <w:r>
              <w:rPr>
                <w:sz w:val="20"/>
                <w:szCs w:val="20"/>
              </w:rPr>
              <w:t>посвідчення особи, яка потребує додаткового захисту в Україні,</w:t>
            </w:r>
          </w:p>
          <w:p>
            <w:pPr>
              <w:pStyle w:val="Normal"/>
              <w:widowControl w:val="false"/>
              <w:ind w:left="283" w:hanging="283"/>
              <w:jc w:val="both"/>
              <w:rPr>
                <w:i/>
                <w:i/>
                <w:sz w:val="20"/>
                <w:szCs w:val="20"/>
              </w:rPr>
            </w:pPr>
            <w:r>
              <w:rPr>
                <w:i/>
                <w:sz w:val="20"/>
                <w:szCs w:val="20"/>
              </w:rPr>
              <w:t>або</w:t>
            </w:r>
          </w:p>
          <w:p>
            <w:pPr>
              <w:pStyle w:val="Normal"/>
              <w:widowControl w:val="false"/>
              <w:numPr>
                <w:ilvl w:val="0"/>
                <w:numId w:val="3"/>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pPr>
              <w:pStyle w:val="Normal"/>
              <w:widowControl w:val="false"/>
              <w:shd w:val="clear" w:color="auto" w:fill="FFFFFF"/>
              <w:ind w:left="283" w:hanging="283"/>
              <w:jc w:val="both"/>
              <w:rPr>
                <w:i/>
                <w:i/>
                <w:sz w:val="20"/>
                <w:szCs w:val="20"/>
              </w:rPr>
            </w:pPr>
            <w:r>
              <w:rPr>
                <w:i/>
                <w:sz w:val="20"/>
                <w:szCs w:val="20"/>
              </w:rPr>
              <w:t>або</w:t>
            </w:r>
          </w:p>
          <w:p>
            <w:pPr>
              <w:pStyle w:val="Normal"/>
              <w:widowControl w:val="false"/>
              <w:numPr>
                <w:ilvl w:val="0"/>
                <w:numId w:val="5"/>
              </w:numPr>
              <w:ind w:left="283" w:hanging="283"/>
              <w:jc w:val="both"/>
              <w:rPr>
                <w:sz w:val="20"/>
                <w:szCs w:val="2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sz w:val="20"/>
                <w:szCs w:val="20"/>
              </w:rPr>
            </w:pPr>
            <w:r>
              <w:rPr>
                <w:b/>
                <w:sz w:val="20"/>
                <w:szCs w:val="20"/>
              </w:rPr>
              <w:t>4</w:t>
            </w:r>
          </w:p>
        </w:tc>
        <w:tc>
          <w:tcPr>
            <w:tcW w:w="9895" w:type="dxa"/>
            <w:tcBorders>
              <w:top w:val="single" w:sz="8" w:space="0" w:color="000000"/>
              <w:left w:val="single" w:sz="8" w:space="0" w:color="000000"/>
              <w:bottom w:val="single" w:sz="8" w:space="0" w:color="000000"/>
              <w:right w:val="single" w:sz="8" w:space="0" w:color="000000"/>
            </w:tcBorders>
          </w:tcPr>
          <w:p>
            <w:pPr>
              <w:pStyle w:val="Normal"/>
              <w:widowControl w:val="false"/>
              <w:ind w:left="16" w:hanging="0"/>
              <w:jc w:val="both"/>
              <w:rPr>
                <w:b/>
                <w:b/>
              </w:rPr>
            </w:pPr>
            <w:r>
              <w:rPr/>
              <w:t xml:space="preserve">Статут або інший установчий документ в останній редакції </w:t>
            </w:r>
            <w:r>
              <w:rPr>
                <w:b/>
              </w:rPr>
              <w:t>(</w:t>
            </w:r>
            <w:r>
              <w:rPr>
                <w:b/>
                <w:u w:val="single"/>
              </w:rPr>
              <w:t>для учасників юридичних осіб</w:t>
            </w:r>
            <w:r>
              <w:rPr>
                <w:b/>
              </w:rPr>
              <w:t>).</w:t>
            </w:r>
          </w:p>
          <w:p>
            <w:pPr>
              <w:pStyle w:val="Normal"/>
              <w:widowControl w:val="false"/>
              <w:jc w:val="both"/>
              <w:rPr>
                <w:sz w:val="20"/>
                <w:szCs w:val="20"/>
              </w:rPr>
            </w:pPr>
            <w:r>
              <w:rPr>
                <w:i/>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sz w:val="20"/>
                <w:szCs w:val="20"/>
              </w:rPr>
            </w:pPr>
            <w:r>
              <w:rPr>
                <w:b/>
                <w:sz w:val="20"/>
                <w:szCs w:val="20"/>
              </w:rPr>
              <w:t>5</w:t>
            </w:r>
          </w:p>
        </w:tc>
        <w:tc>
          <w:tcPr>
            <w:tcW w:w="9895" w:type="dxa"/>
            <w:tcBorders>
              <w:top w:val="single" w:sz="8" w:space="0" w:color="000000"/>
              <w:left w:val="single" w:sz="8" w:space="0" w:color="000000"/>
              <w:bottom w:val="single" w:sz="8" w:space="0" w:color="000000"/>
              <w:right w:val="single" w:sz="8" w:space="0" w:color="000000"/>
            </w:tcBorders>
          </w:tcPr>
          <w:p>
            <w:pPr>
              <w:pStyle w:val="NoSpacing"/>
              <w:widowControl w:val="false"/>
              <w:jc w:val="both"/>
              <w:rPr>
                <w:rFonts w:ascii="Times New Roman" w:hAnsi="Times New Roman" w:eastAsia="Batang"/>
                <w:lang w:eastAsia="ar-SA"/>
              </w:rPr>
            </w:pPr>
            <w:r>
              <w:rPr>
                <w:rFonts w:eastAsia="Batang" w:ascii="Times New Roman" w:hAnsi="Times New Roman"/>
                <w:lang w:eastAsia="ar-SA"/>
              </w:rPr>
              <w:t>Документи, що підтверджують повноваження посадової особи або уповноваженої особи учасника процедури закупівлі щодо</w:t>
            </w:r>
            <w:r>
              <w:rPr>
                <w:rFonts w:eastAsia="Batang" w:ascii="Times New Roman" w:hAnsi="Times New Roman"/>
                <w:b/>
                <w:lang w:eastAsia="ar-SA"/>
              </w:rPr>
              <w:t xml:space="preserve"> підпису тендерної пропозиції та права підписання договору про закупівлю</w:t>
            </w:r>
            <w:r>
              <w:rPr>
                <w:rFonts w:eastAsia="Batang" w:ascii="Times New Roman" w:hAnsi="Times New Roman"/>
                <w:lang w:eastAsia="ar-SA"/>
              </w:rPr>
              <w:t>:</w:t>
            </w:r>
          </w:p>
          <w:p>
            <w:pPr>
              <w:pStyle w:val="NoSpacing"/>
              <w:widowControl w:val="false"/>
              <w:numPr>
                <w:ilvl w:val="0"/>
                <w:numId w:val="8"/>
              </w:numPr>
              <w:rPr>
                <w:rFonts w:ascii="Times New Roman" w:hAnsi="Times New Roman" w:eastAsia="Batang"/>
                <w:lang w:eastAsia="ar-SA"/>
              </w:rPr>
            </w:pPr>
            <w:r>
              <w:rPr>
                <w:rFonts w:eastAsia="Batang" w:ascii="Times New Roman" w:hAnsi="Times New Roman"/>
                <w:lang w:eastAsia="ar-SA"/>
              </w:rPr>
              <w:t xml:space="preserve">виписка з протоколу зборів засновників, наказ про призначення, довіреність, доручення або інший документ </w:t>
            </w:r>
            <w:r>
              <w:rPr>
                <w:rFonts w:eastAsia="Batang" w:ascii="Times New Roman" w:hAnsi="Times New Roman"/>
                <w:b/>
                <w:lang w:eastAsia="ar-SA"/>
              </w:rPr>
              <w:t>(</w:t>
            </w:r>
            <w:r>
              <w:rPr>
                <w:rFonts w:eastAsia="Batang" w:ascii="Times New Roman" w:hAnsi="Times New Roman"/>
                <w:b/>
                <w:u w:val="single"/>
                <w:lang w:eastAsia="ar-SA"/>
              </w:rPr>
              <w:t>для учасників юридичних осіб</w:t>
            </w:r>
            <w:r>
              <w:rPr>
                <w:rFonts w:eastAsia="Batang" w:ascii="Times New Roman" w:hAnsi="Times New Roman"/>
                <w:b/>
                <w:lang w:eastAsia="ar-SA"/>
              </w:rPr>
              <w:t>)</w:t>
            </w:r>
            <w:r>
              <w:rPr>
                <w:rFonts w:eastAsia="Batang" w:ascii="Times New Roman" w:hAnsi="Times New Roman"/>
                <w:lang w:eastAsia="ar-SA"/>
              </w:rPr>
              <w:t xml:space="preserve">; </w:t>
            </w:r>
          </w:p>
          <w:p>
            <w:pPr>
              <w:pStyle w:val="Normal"/>
              <w:widowControl w:val="false"/>
              <w:jc w:val="both"/>
              <w:rPr>
                <w:sz w:val="20"/>
                <w:szCs w:val="20"/>
              </w:rPr>
            </w:pPr>
            <w:r>
              <w:rPr/>
              <w:t xml:space="preserve">копія паспорта (заповнені сторінки, в т.ч. місце проживання) у випадку, якщо такий паспорт оформлено у вигляді книжечки, </w:t>
            </w:r>
            <w:r>
              <w:rPr>
                <w:b/>
              </w:rPr>
              <w:t>або двостороння копія паспорту громадянина України оформленого у вигляді ID-паспорта-картки</w:t>
            </w:r>
            <w:r>
              <w:rPr/>
              <w:t xml:space="preserve"> </w:t>
            </w:r>
            <w:r>
              <w:rPr>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softHyphen/>
              <w:t xml:space="preserve">VI (зі змінами) </w:t>
            </w:r>
            <w:r>
              <w:rPr>
                <w:b/>
              </w:rPr>
              <w:t>(</w:t>
            </w:r>
            <w:r>
              <w:rPr>
                <w:b/>
                <w:u w:val="single"/>
              </w:rPr>
              <w:t>для учасників фізичних осіб, фізичних осіб- підприємців</w:t>
            </w:r>
            <w:r>
              <w:rPr>
                <w:b/>
              </w:rPr>
              <w:t>).</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b/>
                <w:b/>
                <w:sz w:val="20"/>
                <w:szCs w:val="20"/>
              </w:rPr>
            </w:pPr>
            <w:r>
              <w:rPr>
                <w:b/>
                <w:sz w:val="20"/>
                <w:szCs w:val="20"/>
              </w:rPr>
              <w:t>6</w:t>
            </w:r>
          </w:p>
        </w:tc>
        <w:tc>
          <w:tcPr>
            <w:tcW w:w="9895"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color w:val="000000"/>
              </w:rPr>
            </w:pPr>
            <w:r>
              <w:rPr>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br/>
              <w:t>(в залежності від виду оподаткування на якому обліковується учасник) або довідку в довільній формі про те, що учасник не є платником податків.</w:t>
            </w:r>
          </w:p>
          <w:p>
            <w:pPr>
              <w:pStyle w:val="Normal"/>
              <w:widowControl w:val="false"/>
              <w:jc w:val="both"/>
              <w:rPr>
                <w:sz w:val="20"/>
                <w:szCs w:val="20"/>
              </w:rPr>
            </w:pPr>
            <w:r>
              <w:rPr>
                <w:i/>
                <w:color w:val="000000"/>
              </w:rPr>
              <w:t>Документ надається в період обмеженого доступу Замовника до відкритих реєстрів.</w:t>
            </w:r>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spacing w:lineRule="auto" w:line="259" w:before="0" w:after="160"/>
        <w:rPr>
          <w:sz w:val="20"/>
          <w:szCs w:val="20"/>
        </w:rPr>
      </w:pPr>
      <w:r>
        <w:rPr>
          <w:sz w:val="20"/>
          <w:szCs w:val="20"/>
        </w:rPr>
      </w:r>
      <w:r>
        <w:br w:type="page"/>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ind w:left="5660" w:hanging="0"/>
        <w:jc w:val="right"/>
        <w:rPr/>
      </w:pPr>
      <w:r>
        <w:rPr>
          <w:b/>
          <w:color w:val="000000"/>
        </w:rPr>
        <w:t>ДОДАТОК  2</w:t>
      </w:r>
    </w:p>
    <w:p>
      <w:pPr>
        <w:pStyle w:val="Normal"/>
        <w:ind w:left="5660" w:hanging="0"/>
        <w:jc w:val="right"/>
        <w:rPr/>
      </w:pPr>
      <w:r>
        <w:rPr>
          <w:i/>
          <w:color w:val="000000"/>
        </w:rPr>
        <w:t>до тендерної документації</w:t>
      </w:r>
      <w:r>
        <w:rPr>
          <w:color w:val="000000"/>
        </w:rPr>
        <w:t> </w:t>
      </w:r>
    </w:p>
    <w:p>
      <w:pPr>
        <w:pStyle w:val="Normal"/>
        <w:spacing w:before="240" w:after="0"/>
        <w:jc w:val="center"/>
        <w:rPr>
          <w:b/>
          <w:b/>
          <w:i/>
          <w:i/>
          <w:color w:val="000000"/>
        </w:rPr>
      </w:pPr>
      <w:r>
        <w:rPr>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jc w:val="center"/>
        <w:rPr>
          <w:b/>
          <w:b/>
          <w:i/>
          <w:i/>
        </w:rPr>
      </w:pPr>
      <w:r>
        <w:rPr>
          <w:b/>
          <w:i/>
          <w:highlight w:val="white"/>
        </w:rPr>
        <w:t>ТЕХНІЧНА СПЕЦИФІКАЦІЯ</w:t>
      </w:r>
    </w:p>
    <w:p>
      <w:pPr>
        <w:pStyle w:val="Normal"/>
        <w:jc w:val="center"/>
        <w:rPr>
          <w:b/>
          <w:b/>
          <w:bCs/>
          <w:iCs/>
        </w:rPr>
      </w:pPr>
      <w:r>
        <w:rPr>
          <w:b/>
          <w:bCs/>
          <w:iCs/>
        </w:rPr>
      </w:r>
    </w:p>
    <w:tbl>
      <w:tblPr>
        <w:tblW w:w="10349" w:type="dxa"/>
        <w:jc w:val="left"/>
        <w:tblInd w:w="-295" w:type="dxa"/>
        <w:tblLayout w:type="fixed"/>
        <w:tblCellMar>
          <w:top w:w="100" w:type="dxa"/>
          <w:left w:w="100" w:type="dxa"/>
          <w:bottom w:w="100" w:type="dxa"/>
          <w:right w:w="100" w:type="dxa"/>
        </w:tblCellMar>
        <w:tblLook w:firstRow="0" w:noVBand="1" w:lastRow="0" w:firstColumn="0" w:lastColumn="0" w:noHBand="1" w:val="0600"/>
      </w:tblPr>
      <w:tblGrid>
        <w:gridCol w:w="3969"/>
        <w:gridCol w:w="6379"/>
      </w:tblGrid>
      <w:tr>
        <w:trPr/>
        <w:tc>
          <w:tcPr>
            <w:tcW w:w="396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highlight w:val="white"/>
              </w:rPr>
            </w:pPr>
            <w:r>
              <w:rPr>
                <w:highlight w:val="white"/>
              </w:rPr>
              <w:t>Назва предмета закупівлі</w:t>
            </w:r>
          </w:p>
        </w:tc>
        <w:tc>
          <w:tcPr>
            <w:tcW w:w="6379" w:type="dxa"/>
            <w:tcBorders>
              <w:top w:val="single" w:sz="8" w:space="0" w:color="000000"/>
              <w:left w:val="single" w:sz="8" w:space="0" w:color="000000"/>
              <w:bottom w:val="single" w:sz="8" w:space="0" w:color="000000"/>
              <w:right w:val="single" w:sz="8" w:space="0" w:color="000000"/>
            </w:tcBorders>
            <w:shd w:color="auto" w:fill="auto" w:val="clear"/>
          </w:tcPr>
          <w:p>
            <w:pPr>
              <w:pStyle w:val="Rvps2"/>
              <w:widowControl w:val="false"/>
              <w:spacing w:before="0" w:after="0"/>
              <w:rPr>
                <w:highlight w:val="yellow"/>
              </w:rPr>
            </w:pPr>
            <w:r>
              <w:rPr>
                <w:b/>
                <w:bCs/>
                <w:color w:val="000000"/>
                <w:spacing w:val="-4"/>
                <w:lang w:eastAsia="en-US" w:bidi="hi-IN"/>
              </w:rPr>
              <w:t>Лікарські засоби</w:t>
            </w:r>
          </w:p>
        </w:tc>
      </w:tr>
      <w:tr>
        <w:trPr/>
        <w:tc>
          <w:tcPr>
            <w:tcW w:w="396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highlight w:val="white"/>
              </w:rPr>
            </w:pPr>
            <w:r>
              <w:rPr>
                <w:highlight w:val="white"/>
              </w:rPr>
              <w:t>Код ДК 021:2015</w:t>
            </w:r>
          </w:p>
        </w:tc>
        <w:tc>
          <w:tcPr>
            <w:tcW w:w="6379" w:type="dxa"/>
            <w:tcBorders>
              <w:top w:val="single" w:sz="8" w:space="0" w:color="000000"/>
              <w:left w:val="single" w:sz="8" w:space="0" w:color="000000"/>
              <w:bottom w:val="single" w:sz="8" w:space="0" w:color="000000"/>
              <w:right w:val="single" w:sz="8" w:space="0" w:color="000000"/>
            </w:tcBorders>
            <w:shd w:color="auto" w:fill="auto" w:val="clear"/>
          </w:tcPr>
          <w:p>
            <w:pPr>
              <w:pStyle w:val="Rvps2"/>
              <w:widowControl w:val="false"/>
              <w:spacing w:before="0" w:after="0"/>
              <w:rPr>
                <w:highlight w:val="yellow"/>
              </w:rPr>
            </w:pPr>
            <w:r>
              <w:rPr>
                <w:b/>
                <w:bCs/>
                <w:color w:val="000000"/>
                <w:spacing w:val="-4"/>
                <w:lang w:eastAsia="en-US" w:bidi="hi-IN"/>
              </w:rPr>
              <w:t>33690000-3 – Лікарські засоби різні</w:t>
            </w:r>
          </w:p>
        </w:tc>
      </w:tr>
      <w:tr>
        <w:trPr/>
        <w:tc>
          <w:tcPr>
            <w:tcW w:w="396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highlight w:val="white"/>
              </w:rPr>
            </w:pPr>
            <w:r>
              <w:rPr>
                <w:highlight w:val="white"/>
              </w:rPr>
              <w:t xml:space="preserve">Кількість поставки товару </w:t>
            </w:r>
          </w:p>
        </w:tc>
        <w:tc>
          <w:tcPr>
            <w:tcW w:w="6379" w:type="dxa"/>
            <w:tcBorders>
              <w:top w:val="single" w:sz="8" w:space="0" w:color="000000"/>
              <w:left w:val="single" w:sz="8" w:space="0" w:color="000000"/>
              <w:bottom w:val="single" w:sz="8" w:space="0" w:color="000000"/>
              <w:right w:val="single" w:sz="8" w:space="0" w:color="000000"/>
            </w:tcBorders>
            <w:shd w:color="auto" w:fill="auto" w:val="clear"/>
          </w:tcPr>
          <w:p>
            <w:pPr>
              <w:pStyle w:val="Rvps2"/>
              <w:widowControl w:val="false"/>
              <w:spacing w:before="0" w:after="0"/>
              <w:rPr/>
            </w:pPr>
            <w:r>
              <w:rPr/>
              <w:t xml:space="preserve"> </w:t>
            </w:r>
            <w:r>
              <w:rPr/>
              <w:t>детальний перелік зазначено в таблиці 1</w:t>
            </w:r>
          </w:p>
        </w:tc>
      </w:tr>
      <w:tr>
        <w:trPr/>
        <w:tc>
          <w:tcPr>
            <w:tcW w:w="396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highlight w:val="white"/>
              </w:rPr>
            </w:pPr>
            <w:r>
              <w:rPr>
                <w:highlight w:val="white"/>
              </w:rPr>
              <w:t xml:space="preserve">Місце поставки товару </w:t>
            </w:r>
          </w:p>
        </w:tc>
        <w:tc>
          <w:tcPr>
            <w:tcW w:w="63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i/>
                <w:i/>
              </w:rPr>
            </w:pPr>
            <w:r>
              <w:rPr>
                <w:bCs/>
              </w:rPr>
              <w:t>65014, Україна , Одеська обл., Одеса, провулок Обсерваторний, 8</w:t>
            </w:r>
          </w:p>
        </w:tc>
      </w:tr>
      <w:tr>
        <w:trPr/>
        <w:tc>
          <w:tcPr>
            <w:tcW w:w="396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pPr>
            <w:r>
              <w:rPr/>
              <w:t xml:space="preserve">Строк поставки товару </w:t>
            </w:r>
          </w:p>
        </w:tc>
        <w:tc>
          <w:tcPr>
            <w:tcW w:w="63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i/>
                <w:i/>
                <w:highlight w:val="yellow"/>
              </w:rPr>
            </w:pPr>
            <w:r>
              <w:rPr/>
              <w:t>до  31 грудня 2024р.</w:t>
            </w:r>
          </w:p>
        </w:tc>
      </w:tr>
    </w:tbl>
    <w:p>
      <w:pPr>
        <w:pStyle w:val="Normal"/>
        <w:jc w:val="right"/>
        <w:rPr>
          <w:b/>
          <w:b/>
          <w:bCs/>
          <w:i/>
          <w:i/>
        </w:rPr>
      </w:pPr>
      <w:r>
        <w:rPr>
          <w:b/>
          <w:bCs/>
          <w:i/>
        </w:rPr>
      </w:r>
    </w:p>
    <w:p>
      <w:pPr>
        <w:pStyle w:val="Normal"/>
        <w:jc w:val="right"/>
        <w:rPr>
          <w:b/>
          <w:b/>
          <w:bCs/>
          <w:i/>
          <w:i/>
        </w:rPr>
      </w:pPr>
      <w:r>
        <w:rPr>
          <w:b/>
          <w:bCs/>
          <w:i/>
        </w:rPr>
      </w:r>
    </w:p>
    <w:p>
      <w:pPr>
        <w:pStyle w:val="Normal"/>
        <w:jc w:val="right"/>
        <w:rPr>
          <w:b/>
          <w:b/>
          <w:bCs/>
          <w:i/>
          <w:i/>
        </w:rPr>
      </w:pPr>
      <w:r>
        <w:rPr>
          <w:b/>
          <w:bCs/>
          <w:i/>
        </w:rPr>
      </w:r>
    </w:p>
    <w:p>
      <w:pPr>
        <w:pStyle w:val="Normal"/>
        <w:jc w:val="right"/>
        <w:rPr>
          <w:b/>
          <w:b/>
          <w:bCs/>
          <w:i/>
          <w:i/>
        </w:rPr>
      </w:pPr>
      <w:r>
        <w:rPr>
          <w:b/>
          <w:bCs/>
          <w:i/>
        </w:rPr>
      </w:r>
    </w:p>
    <w:p>
      <w:pPr>
        <w:pStyle w:val="Normal"/>
        <w:jc w:val="right"/>
        <w:rPr>
          <w:b/>
          <w:b/>
          <w:bCs/>
          <w:i/>
          <w:i/>
        </w:rPr>
      </w:pPr>
      <w:r>
        <w:rPr>
          <w:b/>
          <w:bCs/>
          <w:i/>
        </w:rPr>
      </w:r>
    </w:p>
    <w:p>
      <w:pPr>
        <w:pStyle w:val="Normal"/>
        <w:jc w:val="right"/>
        <w:rPr>
          <w:b/>
          <w:b/>
          <w:bCs/>
          <w:i/>
          <w:i/>
        </w:rPr>
      </w:pPr>
      <w:r>
        <w:rPr>
          <w:b/>
          <w:bCs/>
          <w:i/>
        </w:rPr>
      </w:r>
      <w:bookmarkStart w:id="8" w:name="_Hlk139463416"/>
      <w:bookmarkStart w:id="9" w:name="_Hlk139463416"/>
      <w:bookmarkEnd w:id="9"/>
    </w:p>
    <w:p>
      <w:pPr>
        <w:pStyle w:val="Normal"/>
        <w:tabs>
          <w:tab w:val="clear" w:pos="720"/>
          <w:tab w:val="left" w:pos="5828" w:leader="none"/>
        </w:tabs>
        <w:jc w:val="center"/>
        <w:rPr>
          <w:b/>
          <w:b/>
        </w:rPr>
      </w:pPr>
      <w:r>
        <w:rPr>
          <w:b/>
        </w:rPr>
        <w:t>ТЕХНІЧНА СПЕЦИФІКАЦІЯ</w:t>
      </w:r>
    </w:p>
    <w:p>
      <w:pPr>
        <w:pStyle w:val="Normal"/>
        <w:tabs>
          <w:tab w:val="clear" w:pos="720"/>
          <w:tab w:val="left" w:pos="5828" w:leader="none"/>
        </w:tabs>
        <w:jc w:val="center"/>
        <w:rPr/>
      </w:pPr>
      <w:r>
        <w:rPr/>
        <w:t>на закупівлю</w:t>
      </w:r>
    </w:p>
    <w:p>
      <w:pPr>
        <w:pStyle w:val="Normal"/>
        <w:jc w:val="center"/>
        <w:rPr>
          <w:b/>
          <w:b/>
          <w:color w:val="000000" w:themeColor="text1"/>
          <w:sz w:val="28"/>
          <w:szCs w:val="28"/>
        </w:rPr>
      </w:pPr>
      <w:r>
        <w:rPr>
          <w:b/>
          <w:color w:val="000000" w:themeColor="text1"/>
          <w:sz w:val="28"/>
          <w:szCs w:val="28"/>
        </w:rPr>
        <w:t xml:space="preserve">Лікарські засоби </w:t>
      </w:r>
    </w:p>
    <w:p>
      <w:pPr>
        <w:pStyle w:val="Normal"/>
        <w:jc w:val="center"/>
        <w:rPr>
          <w:rStyle w:val="Style17"/>
          <w:b/>
          <w:b/>
          <w:bCs/>
          <w:color w:val="000000" w:themeColor="text1"/>
          <w:sz w:val="28"/>
          <w:szCs w:val="28"/>
        </w:rPr>
      </w:pPr>
      <w:r>
        <w:rPr>
          <w:b/>
          <w:color w:val="000000" w:themeColor="text1"/>
          <w:sz w:val="28"/>
          <w:szCs w:val="28"/>
        </w:rPr>
        <w:t>Код ДК 021:2015 (CPV) - 33690000-3 – Лікарські засоби різні</w:t>
      </w:r>
    </w:p>
    <w:p>
      <w:pPr>
        <w:pStyle w:val="Normal"/>
        <w:rPr>
          <w:bCs/>
        </w:rPr>
      </w:pPr>
      <w:r>
        <w:rPr>
          <w:rStyle w:val="Style17"/>
          <w:b/>
          <w:bCs/>
        </w:rPr>
        <w:t>Місце постачання</w:t>
      </w:r>
      <w:r>
        <w:rPr>
          <w:rStyle w:val="Style17"/>
        </w:rPr>
        <w:t>:</w:t>
      </w:r>
      <w:r>
        <w:rPr/>
        <w:t xml:space="preserve"> </w:t>
      </w:r>
      <w:r>
        <w:rPr>
          <w:bCs/>
        </w:rPr>
        <w:t>65014, Україна , Одеська обл., Одеса, провулок Обсерваторний, 8</w:t>
      </w:r>
    </w:p>
    <w:p>
      <w:pPr>
        <w:pStyle w:val="Normal"/>
        <w:rPr>
          <w:rStyle w:val="Style17"/>
          <w:i w:val="false"/>
          <w:i w:val="false"/>
          <w:iCs w:val="false"/>
          <w:sz w:val="20"/>
          <w:szCs w:val="20"/>
        </w:rPr>
      </w:pPr>
      <w:r>
        <w:rPr>
          <w:rStyle w:val="Style17"/>
          <w:b/>
          <w:bCs/>
        </w:rPr>
        <w:t>Товаро-одержувач</w:t>
      </w:r>
      <w:r>
        <w:rPr>
          <w:rStyle w:val="Style17"/>
        </w:rPr>
        <w:t>:</w:t>
      </w:r>
      <w:r>
        <w:rPr/>
        <w:t xml:space="preserve"> КОМУНАЛЬНЕ НЕКОМЕРЦІЙНЕ ПІДПРИЄМСТВО “ЦЕНТР ПЕРВИННОЇ МЕДИКО-САНІТАРНОЇ ДОПОМОГИ №2” ОМР</w:t>
      </w:r>
    </w:p>
    <w:p>
      <w:pPr>
        <w:pStyle w:val="Normal"/>
        <w:jc w:val="right"/>
        <w:rPr>
          <w:b/>
          <w:b/>
          <w:bCs/>
          <w:i/>
          <w:i/>
        </w:rPr>
      </w:pPr>
      <w:r>
        <w:rPr>
          <w:b/>
          <w:bCs/>
          <w:i/>
        </w:rPr>
        <w:t>Таблиця 1</w:t>
      </w:r>
    </w:p>
    <w:p>
      <w:pPr>
        <w:pStyle w:val="Normal"/>
        <w:jc w:val="right"/>
        <w:rPr>
          <w:b/>
          <w:b/>
          <w:bCs/>
          <w:i/>
          <w:i/>
        </w:rPr>
      </w:pPr>
      <w:r>
        <w:rPr>
          <w:b/>
          <w:bCs/>
          <w:i/>
        </w:rPr>
      </w:r>
    </w:p>
    <w:tbl>
      <w:tblPr>
        <w:tblW w:w="10547"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638"/>
        <w:gridCol w:w="1800"/>
        <w:gridCol w:w="2547"/>
        <w:gridCol w:w="3545"/>
        <w:gridCol w:w="1060"/>
        <w:gridCol w:w="956"/>
      </w:tblGrid>
      <w:tr>
        <w:trPr>
          <w:trHeight w:val="301" w:hRule="atLeast"/>
        </w:trPr>
        <w:tc>
          <w:tcPr>
            <w:tcW w:w="6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b/>
                <w:b/>
                <w:bCs/>
                <w:color w:val="000000"/>
                <w:sz w:val="22"/>
                <w:szCs w:val="22"/>
                <w:lang w:eastAsia="en-US"/>
              </w:rPr>
            </w:pPr>
            <w:r>
              <w:rPr>
                <w:b/>
                <w:bCs/>
                <w:color w:val="000000"/>
                <w:sz w:val="22"/>
                <w:szCs w:val="22"/>
                <w:lang w:eastAsia="en-US"/>
              </w:rPr>
              <w:t xml:space="preserve">№ </w:t>
            </w:r>
            <w:r>
              <w:rPr>
                <w:b/>
                <w:bCs/>
                <w:color w:val="000000"/>
                <w:sz w:val="22"/>
                <w:szCs w:val="22"/>
                <w:lang w:eastAsia="en-US"/>
              </w:rPr>
              <w:t>п/п</w:t>
            </w:r>
          </w:p>
        </w:tc>
        <w:tc>
          <w:tcPr>
            <w:tcW w:w="1800"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b/>
                <w:b/>
                <w:bCs/>
                <w:color w:val="000000"/>
                <w:sz w:val="22"/>
                <w:szCs w:val="22"/>
                <w:lang w:val="en-US" w:eastAsia="en-US"/>
              </w:rPr>
            </w:pPr>
            <w:r>
              <w:rPr>
                <w:b/>
                <w:bCs/>
                <w:color w:val="000000"/>
                <w:sz w:val="22"/>
                <w:szCs w:val="22"/>
                <w:lang w:val="en-US" w:eastAsia="en-US"/>
              </w:rPr>
              <w:t>Назва препарату</w:t>
            </w:r>
          </w:p>
        </w:tc>
        <w:tc>
          <w:tcPr>
            <w:tcW w:w="2547" w:type="dxa"/>
            <w:tcBorders>
              <w:top w:val="single" w:sz="8" w:space="0" w:color="000000"/>
              <w:bottom w:val="single" w:sz="8" w:space="0" w:color="000000"/>
              <w:right w:val="single" w:sz="4" w:space="0" w:color="000000"/>
            </w:tcBorders>
            <w:shd w:color="auto" w:fill="auto" w:val="clear"/>
            <w:vAlign w:val="center"/>
          </w:tcPr>
          <w:p>
            <w:pPr>
              <w:pStyle w:val="Normal"/>
              <w:widowControl w:val="false"/>
              <w:jc w:val="center"/>
              <w:rPr>
                <w:b/>
                <w:b/>
                <w:bCs/>
                <w:color w:val="000000"/>
                <w:sz w:val="22"/>
                <w:szCs w:val="22"/>
                <w:lang w:val="en-US" w:eastAsia="en-US"/>
              </w:rPr>
            </w:pPr>
            <w:r>
              <w:rPr>
                <w:rFonts w:eastAsia="Calibri"/>
                <w:b/>
                <w:color w:val="333300"/>
                <w:sz w:val="18"/>
                <w:szCs w:val="18"/>
                <w:lang w:eastAsia="ar-SA"/>
              </w:rPr>
              <w:t>Код Нк</w:t>
            </w:r>
            <w:r>
              <w:rPr>
                <w:rFonts w:eastAsia="Calibri"/>
                <w:color w:val="333300"/>
                <w:sz w:val="18"/>
                <w:szCs w:val="18"/>
                <w:lang w:eastAsia="ar-SA"/>
              </w:rPr>
              <w:t xml:space="preserve"> </w:t>
            </w:r>
            <w:r>
              <w:rPr>
                <w:rStyle w:val="Strong"/>
                <w:rFonts w:eastAsia="Courier New"/>
                <w:sz w:val="20"/>
                <w:szCs w:val="20"/>
                <w:lang w:eastAsia="en-US"/>
              </w:rPr>
              <w:t>024:2023</w:t>
            </w:r>
          </w:p>
        </w:tc>
        <w:tc>
          <w:tcPr>
            <w:tcW w:w="3545" w:type="dxa"/>
            <w:tcBorders>
              <w:top w:val="single" w:sz="8" w:space="0" w:color="000000"/>
              <w:bottom w:val="single" w:sz="8" w:space="0" w:color="000000"/>
              <w:right w:val="single" w:sz="4" w:space="0" w:color="000000"/>
            </w:tcBorders>
            <w:vAlign w:val="center"/>
          </w:tcPr>
          <w:p>
            <w:pPr>
              <w:pStyle w:val="Normal"/>
              <w:widowControl w:val="false"/>
              <w:jc w:val="center"/>
              <w:rPr>
                <w:b/>
                <w:b/>
                <w:bCs/>
                <w:color w:val="000000"/>
                <w:sz w:val="22"/>
                <w:szCs w:val="22"/>
                <w:lang w:eastAsia="en-US"/>
              </w:rPr>
            </w:pPr>
            <w:r>
              <w:rPr>
                <w:b/>
                <w:bCs/>
                <w:color w:val="000000"/>
                <w:sz w:val="22"/>
                <w:szCs w:val="22"/>
                <w:lang w:eastAsia="en-US"/>
              </w:rPr>
              <w:t>Сфера застосування</w:t>
            </w:r>
          </w:p>
        </w:tc>
        <w:tc>
          <w:tcPr>
            <w:tcW w:w="1060" w:type="dxa"/>
            <w:tcBorders>
              <w:top w:val="single" w:sz="8" w:space="0" w:color="000000"/>
              <w:bottom w:val="single" w:sz="8" w:space="0" w:color="000000"/>
              <w:right w:val="single" w:sz="4" w:space="0" w:color="000000"/>
            </w:tcBorders>
          </w:tcPr>
          <w:p>
            <w:pPr>
              <w:pStyle w:val="Normal"/>
              <w:widowControl w:val="false"/>
              <w:jc w:val="center"/>
              <w:rPr>
                <w:b/>
                <w:b/>
                <w:bCs/>
                <w:color w:val="000000"/>
                <w:sz w:val="22"/>
                <w:szCs w:val="22"/>
                <w:lang w:eastAsia="en-US"/>
              </w:rPr>
            </w:pPr>
            <w:r>
              <w:rPr>
                <w:b/>
                <w:bCs/>
                <w:color w:val="000000"/>
                <w:sz w:val="22"/>
                <w:szCs w:val="22"/>
                <w:lang w:eastAsia="en-US"/>
              </w:rPr>
              <w:t>Оди-</w:t>
            </w:r>
          </w:p>
          <w:p>
            <w:pPr>
              <w:pStyle w:val="Normal"/>
              <w:widowControl w:val="false"/>
              <w:jc w:val="center"/>
              <w:rPr>
                <w:b/>
                <w:b/>
                <w:bCs/>
                <w:color w:val="000000"/>
                <w:sz w:val="22"/>
                <w:szCs w:val="22"/>
                <w:lang w:eastAsia="en-US"/>
              </w:rPr>
            </w:pPr>
            <w:r>
              <w:rPr>
                <w:b/>
                <w:bCs/>
                <w:color w:val="000000"/>
                <w:sz w:val="22"/>
                <w:szCs w:val="22"/>
                <w:lang w:eastAsia="en-US"/>
              </w:rPr>
              <w:t>ниця ви-</w:t>
            </w:r>
          </w:p>
          <w:p>
            <w:pPr>
              <w:pStyle w:val="Normal"/>
              <w:widowControl w:val="false"/>
              <w:jc w:val="center"/>
              <w:rPr>
                <w:b/>
                <w:b/>
                <w:bCs/>
                <w:color w:val="000000"/>
                <w:sz w:val="22"/>
                <w:szCs w:val="22"/>
                <w:lang w:eastAsia="en-US"/>
              </w:rPr>
            </w:pPr>
            <w:r>
              <w:rPr>
                <w:b/>
                <w:bCs/>
                <w:color w:val="000000"/>
                <w:sz w:val="22"/>
                <w:szCs w:val="22"/>
                <w:lang w:eastAsia="en-US"/>
              </w:rPr>
              <w:t>міру</w:t>
            </w:r>
          </w:p>
          <w:p>
            <w:pPr>
              <w:pStyle w:val="Normal"/>
              <w:widowControl w:val="false"/>
              <w:jc w:val="center"/>
              <w:rPr>
                <w:b/>
                <w:b/>
                <w:bCs/>
                <w:color w:val="000000"/>
                <w:sz w:val="22"/>
                <w:szCs w:val="22"/>
                <w:lang w:eastAsia="en-US"/>
              </w:rPr>
            </w:pPr>
            <w:r>
              <w:rPr>
                <w:b/>
                <w:bCs/>
                <w:color w:val="000000"/>
                <w:sz w:val="22"/>
                <w:szCs w:val="22"/>
                <w:lang w:eastAsia="en-US"/>
              </w:rPr>
            </w:r>
          </w:p>
        </w:tc>
        <w:tc>
          <w:tcPr>
            <w:tcW w:w="956" w:type="dxa"/>
            <w:tcBorders>
              <w:top w:val="single" w:sz="8" w:space="0" w:color="000000"/>
              <w:bottom w:val="single" w:sz="8" w:space="0" w:color="000000"/>
              <w:right w:val="single" w:sz="4" w:space="0" w:color="000000"/>
            </w:tcBorders>
          </w:tcPr>
          <w:p>
            <w:pPr>
              <w:pStyle w:val="Normal"/>
              <w:widowControl w:val="false"/>
              <w:jc w:val="center"/>
              <w:rPr>
                <w:b/>
                <w:b/>
                <w:bCs/>
                <w:color w:val="000000"/>
                <w:sz w:val="22"/>
                <w:szCs w:val="22"/>
                <w:lang w:eastAsia="en-US"/>
              </w:rPr>
            </w:pPr>
            <w:r>
              <w:rPr>
                <w:b/>
                <w:bCs/>
                <w:color w:val="000000"/>
                <w:sz w:val="22"/>
                <w:szCs w:val="22"/>
                <w:lang w:eastAsia="en-US"/>
              </w:rPr>
              <w:t>Кіль-кі</w:t>
            </w:r>
            <w:r>
              <w:rPr>
                <w:b/>
                <w:bCs/>
                <w:color w:val="000000"/>
                <w:sz w:val="22"/>
                <w:szCs w:val="22"/>
                <w:lang w:val="en-US" w:eastAsia="en-US"/>
              </w:rPr>
              <w:t>c</w:t>
            </w:r>
            <w:r>
              <w:rPr>
                <w:b/>
                <w:bCs/>
                <w:color w:val="000000"/>
                <w:sz w:val="22"/>
                <w:szCs w:val="22"/>
                <w:lang w:eastAsia="en-US"/>
              </w:rPr>
              <w:t>ть</w:t>
            </w:r>
          </w:p>
        </w:tc>
      </w:tr>
      <w:tr>
        <w:trPr>
          <w:trHeight w:val="301" w:hRule="atLeast"/>
        </w:trPr>
        <w:tc>
          <w:tcPr>
            <w:tcW w:w="6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lang w:val="en-US" w:eastAsia="en-US"/>
              </w:rPr>
            </w:pPr>
            <w:r>
              <w:rPr>
                <w:color w:val="000000"/>
                <w:sz w:val="22"/>
                <w:szCs w:val="22"/>
              </w:rPr>
              <w:t>1</w:t>
            </w:r>
          </w:p>
        </w:tc>
        <w:tc>
          <w:tcPr>
            <w:tcW w:w="1800"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lang w:val="en-US" w:eastAsia="en-US"/>
              </w:rPr>
            </w:pPr>
            <w:r>
              <w:rPr>
                <w:rFonts w:eastAsia="Batang"/>
                <w:bCs/>
                <w:iCs/>
                <w:sz w:val="20"/>
                <w:szCs w:val="20"/>
                <w:lang w:eastAsia="en-US"/>
              </w:rPr>
              <w:t xml:space="preserve">Реагент </w:t>
            </w:r>
            <w:r>
              <w:rPr>
                <w:rFonts w:eastAsia="Batang"/>
                <w:bCs/>
                <w:iCs/>
                <w:sz w:val="20"/>
                <w:szCs w:val="20"/>
                <w:lang w:val="en-US" w:eastAsia="en-US"/>
              </w:rPr>
              <w:t>CELLCLEAN 50 ml</w:t>
            </w:r>
          </w:p>
        </w:tc>
        <w:tc>
          <w:tcPr>
            <w:tcW w:w="2547" w:type="dxa"/>
            <w:tcBorders>
              <w:top w:val="single" w:sz="8" w:space="0" w:color="000000"/>
              <w:bottom w:val="single" w:sz="8"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59058 - Мийний/очищувальний розчин IVD (діагностика in vitro) для автоматизованих/ напівавтоматизованих систем</w:t>
            </w:r>
          </w:p>
        </w:tc>
        <w:tc>
          <w:tcPr>
            <w:tcW w:w="3545" w:type="dxa"/>
            <w:tcBorders>
              <w:top w:val="single" w:sz="8" w:space="0" w:color="000000"/>
              <w:bottom w:val="single" w:sz="8" w:space="0" w:color="000000"/>
              <w:right w:val="single" w:sz="4" w:space="0" w:color="000000"/>
            </w:tcBorders>
            <w:vAlign w:val="center"/>
          </w:tcPr>
          <w:p>
            <w:pPr>
              <w:pStyle w:val="Normal"/>
              <w:widowControl w:val="false"/>
              <w:jc w:val="center"/>
              <w:rPr>
                <w:color w:val="000000"/>
                <w:sz w:val="22"/>
                <w:szCs w:val="22"/>
                <w:lang w:eastAsia="en-US"/>
              </w:rPr>
            </w:pPr>
            <w:r>
              <w:rPr>
                <w:rFonts w:eastAsia="Calibri"/>
                <w:sz w:val="22"/>
                <w:szCs w:val="22"/>
                <w:lang w:val="ru-RU" w:eastAsia="en-US"/>
              </w:rPr>
              <w:t xml:space="preserve">Розчин для очищення. Середовище розчину - сильний луг. Призначений для видалення клітинних відкладень та білків крові в гідравлічних лініях гематологічного аналізатора. Реагент повинен бути адаптованим до аналізатору  XP-300 (SYSMEX). Об'єм не більше ніж 50 мілілітрів в упаковці. Склад: гіпохлорит натрію (доступна концентрація хлору повинна бути 5,0%). </w:t>
            </w:r>
          </w:p>
        </w:tc>
        <w:tc>
          <w:tcPr>
            <w:tcW w:w="1060" w:type="dxa"/>
            <w:tcBorders>
              <w:top w:val="single" w:sz="8" w:space="0" w:color="000000"/>
              <w:bottom w:val="single" w:sz="8" w:space="0" w:color="000000"/>
              <w:right w:val="single" w:sz="4" w:space="0" w:color="000000"/>
            </w:tcBorders>
          </w:tcPr>
          <w:p>
            <w:pPr>
              <w:pStyle w:val="Normal"/>
              <w:widowControl w:val="false"/>
              <w:jc w:val="center"/>
              <w:rPr>
                <w:color w:val="000000"/>
                <w:sz w:val="22"/>
                <w:szCs w:val="22"/>
              </w:rPr>
            </w:pPr>
            <w:r>
              <w:rPr>
                <w:rFonts w:eastAsia="Batang"/>
                <w:bCs/>
                <w:iCs/>
                <w:sz w:val="20"/>
                <w:szCs w:val="20"/>
                <w:lang w:eastAsia="en-US"/>
              </w:rPr>
              <w:t>упак</w:t>
            </w:r>
          </w:p>
        </w:tc>
        <w:tc>
          <w:tcPr>
            <w:tcW w:w="956" w:type="dxa"/>
            <w:tcBorders>
              <w:top w:val="single" w:sz="8" w:space="0" w:color="000000"/>
              <w:bottom w:val="single" w:sz="8" w:space="0" w:color="000000"/>
              <w:right w:val="single" w:sz="4" w:space="0" w:color="000000"/>
            </w:tcBorders>
          </w:tcPr>
          <w:p>
            <w:pPr>
              <w:pStyle w:val="Normal"/>
              <w:widowControl w:val="false"/>
              <w:jc w:val="center"/>
              <w:rPr>
                <w:color w:val="000000"/>
                <w:sz w:val="22"/>
                <w:szCs w:val="22"/>
              </w:rPr>
            </w:pPr>
            <w:r>
              <w:rPr>
                <w:rFonts w:eastAsia="Batang"/>
                <w:bCs/>
                <w:iCs/>
                <w:sz w:val="20"/>
                <w:szCs w:val="20"/>
                <w:lang w:eastAsia="en-US"/>
              </w:rPr>
              <w:t>12</w:t>
            </w:r>
          </w:p>
        </w:tc>
      </w:tr>
      <w:tr>
        <w:trPr>
          <w:trHeight w:val="301" w:hRule="atLeast"/>
        </w:trPr>
        <w:tc>
          <w:tcPr>
            <w:tcW w:w="6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rPr>
            </w:pPr>
            <w:r>
              <w:rPr>
                <w:color w:val="000000"/>
                <w:sz w:val="22"/>
                <w:szCs w:val="22"/>
              </w:rPr>
              <w:t>2</w:t>
            </w:r>
          </w:p>
        </w:tc>
        <w:tc>
          <w:tcPr>
            <w:tcW w:w="1800"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lang w:val="ru-RU" w:eastAsia="en-US"/>
              </w:rPr>
            </w:pPr>
            <w:r>
              <w:rPr>
                <w:rFonts w:eastAsia="Batang"/>
                <w:bCs/>
                <w:iCs/>
                <w:sz w:val="20"/>
                <w:szCs w:val="20"/>
                <w:lang w:eastAsia="en-US"/>
              </w:rPr>
              <w:t xml:space="preserve">Реагент </w:t>
            </w:r>
            <w:r>
              <w:rPr>
                <w:rFonts w:eastAsia="Batang"/>
                <w:bCs/>
                <w:iCs/>
                <w:sz w:val="20"/>
                <w:szCs w:val="20"/>
                <w:lang w:val="en-US" w:eastAsia="en-US"/>
              </w:rPr>
              <w:t xml:space="preserve">CELLPACK </w:t>
            </w:r>
            <w:r>
              <w:rPr>
                <w:rFonts w:eastAsia="Batang"/>
                <w:bCs/>
                <w:iCs/>
                <w:sz w:val="20"/>
                <w:szCs w:val="20"/>
                <w:lang w:val="ru-RU" w:eastAsia="en-US"/>
              </w:rPr>
              <w:t xml:space="preserve">20 </w:t>
            </w:r>
            <w:r>
              <w:rPr>
                <w:rFonts w:eastAsia="Batang"/>
                <w:bCs/>
                <w:iCs/>
                <w:sz w:val="20"/>
                <w:szCs w:val="20"/>
                <w:lang w:val="en-US" w:eastAsia="en-US"/>
              </w:rPr>
              <w:t>L</w:t>
            </w:r>
          </w:p>
        </w:tc>
        <w:tc>
          <w:tcPr>
            <w:tcW w:w="2547" w:type="dxa"/>
            <w:tcBorders>
              <w:top w:val="single" w:sz="8" w:space="0" w:color="000000"/>
              <w:bottom w:val="single" w:sz="8"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55855- Підрахунок клітин крові IVD (діагностика in vitro ), реагент</w:t>
            </w:r>
          </w:p>
        </w:tc>
        <w:tc>
          <w:tcPr>
            <w:tcW w:w="3545" w:type="dxa"/>
            <w:tcBorders>
              <w:top w:val="single" w:sz="8" w:space="0" w:color="000000"/>
              <w:bottom w:val="single" w:sz="8" w:space="0" w:color="000000"/>
              <w:right w:val="single" w:sz="4" w:space="0" w:color="000000"/>
            </w:tcBorders>
            <w:vAlign w:val="center"/>
          </w:tcPr>
          <w:p>
            <w:pPr>
              <w:pStyle w:val="Normal"/>
              <w:widowControl w:val="false"/>
              <w:jc w:val="center"/>
              <w:rPr>
                <w:color w:val="000000"/>
                <w:sz w:val="22"/>
                <w:szCs w:val="22"/>
                <w:lang w:eastAsia="en-US"/>
              </w:rPr>
            </w:pPr>
            <w:r>
              <w:rPr>
                <w:rFonts w:eastAsia="Calibri"/>
                <w:sz w:val="22"/>
                <w:szCs w:val="22"/>
                <w:lang w:val="ru-RU" w:eastAsia="en-US"/>
              </w:rPr>
              <w:t>Розчин для розведення зразків. Призначений для вимірювання кількості і розмірів еритроцитів, лейкоцитів, тромбоцитів кондуктометрическим методом. Використовується для аналізу концентрації гемоглобіну. Реагент повинен бути адаптованим до аналізатора XP-300 (SYSMEX). Склад: хлорид натрію 6,38 г/л, борна кислота 1,0 г/л, тетрахлорат натрію 0,2 г/л, EDTA-2K 0,2 г/л. Об'єм не менш ніж 20 літрів в упаковці.</w:t>
            </w:r>
          </w:p>
        </w:tc>
        <w:tc>
          <w:tcPr>
            <w:tcW w:w="1060" w:type="dxa"/>
            <w:tcBorders>
              <w:top w:val="single" w:sz="8" w:space="0" w:color="000000"/>
              <w:bottom w:val="single" w:sz="8" w:space="0" w:color="000000"/>
              <w:right w:val="single" w:sz="4" w:space="0" w:color="000000"/>
            </w:tcBorders>
          </w:tcPr>
          <w:p>
            <w:pPr>
              <w:pStyle w:val="Normal"/>
              <w:widowControl w:val="false"/>
              <w:jc w:val="center"/>
              <w:rPr>
                <w:color w:val="000000"/>
                <w:sz w:val="22"/>
                <w:szCs w:val="22"/>
              </w:rPr>
            </w:pPr>
            <w:r>
              <w:rPr>
                <w:rFonts w:eastAsia="Batang"/>
                <w:bCs/>
                <w:iCs/>
                <w:sz w:val="20"/>
                <w:szCs w:val="20"/>
                <w:lang w:eastAsia="en-US"/>
              </w:rPr>
              <w:t>упак</w:t>
            </w:r>
          </w:p>
        </w:tc>
        <w:tc>
          <w:tcPr>
            <w:tcW w:w="956" w:type="dxa"/>
            <w:tcBorders>
              <w:top w:val="single" w:sz="8" w:space="0" w:color="000000"/>
              <w:bottom w:val="single" w:sz="8" w:space="0" w:color="000000"/>
              <w:right w:val="single" w:sz="4" w:space="0" w:color="000000"/>
            </w:tcBorders>
          </w:tcPr>
          <w:p>
            <w:pPr>
              <w:pStyle w:val="Normal"/>
              <w:widowControl w:val="false"/>
              <w:jc w:val="center"/>
              <w:rPr>
                <w:color w:val="000000"/>
                <w:sz w:val="22"/>
                <w:szCs w:val="22"/>
              </w:rPr>
            </w:pPr>
            <w:r>
              <w:rPr>
                <w:rFonts w:eastAsia="Batang"/>
                <w:bCs/>
                <w:iCs/>
                <w:sz w:val="20"/>
                <w:szCs w:val="20"/>
                <w:lang w:eastAsia="en-US"/>
              </w:rPr>
              <w:t>14</w:t>
            </w:r>
          </w:p>
        </w:tc>
      </w:tr>
      <w:tr>
        <w:trPr>
          <w:trHeight w:val="301" w:hRule="atLeast"/>
        </w:trPr>
        <w:tc>
          <w:tcPr>
            <w:tcW w:w="6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rPr>
            </w:pPr>
            <w:r>
              <w:rPr>
                <w:color w:val="000000"/>
                <w:sz w:val="22"/>
                <w:szCs w:val="22"/>
              </w:rPr>
              <w:t>3</w:t>
            </w:r>
          </w:p>
        </w:tc>
        <w:tc>
          <w:tcPr>
            <w:tcW w:w="1800"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rPr>
            </w:pPr>
            <w:r>
              <w:rPr>
                <w:rFonts w:eastAsia="Batang"/>
                <w:bCs/>
                <w:iCs/>
                <w:sz w:val="20"/>
                <w:szCs w:val="20"/>
                <w:lang w:eastAsia="en-US"/>
              </w:rPr>
              <w:t xml:space="preserve">Реагент </w:t>
            </w:r>
            <w:r>
              <w:rPr>
                <w:rFonts w:eastAsia="Batang"/>
                <w:bCs/>
                <w:iCs/>
                <w:sz w:val="20"/>
                <w:szCs w:val="20"/>
                <w:lang w:val="en-US" w:eastAsia="en-US"/>
              </w:rPr>
              <w:t>STROMATOLYSER – WH 500 ml</w:t>
            </w:r>
          </w:p>
        </w:tc>
        <w:tc>
          <w:tcPr>
            <w:tcW w:w="2547" w:type="dxa"/>
            <w:tcBorders>
              <w:top w:val="single" w:sz="8" w:space="0" w:color="000000"/>
              <w:bottom w:val="single" w:sz="8"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55855- Підрахунок клітин крові IVD (діагностика in vitro ), реагент</w:t>
            </w:r>
          </w:p>
        </w:tc>
        <w:tc>
          <w:tcPr>
            <w:tcW w:w="3545" w:type="dxa"/>
            <w:tcBorders>
              <w:top w:val="single" w:sz="8" w:space="0" w:color="000000"/>
              <w:bottom w:val="single" w:sz="8" w:space="0" w:color="000000"/>
              <w:right w:val="single" w:sz="4" w:space="0" w:color="000000"/>
            </w:tcBorders>
            <w:vAlign w:val="center"/>
          </w:tcPr>
          <w:p>
            <w:pPr>
              <w:pStyle w:val="Normal"/>
              <w:widowControl w:val="false"/>
              <w:jc w:val="center"/>
              <w:rPr>
                <w:color w:val="000000"/>
                <w:sz w:val="22"/>
                <w:szCs w:val="22"/>
              </w:rPr>
            </w:pPr>
            <w:r>
              <w:rPr>
                <w:rFonts w:eastAsia="Calibri"/>
                <w:sz w:val="22"/>
                <w:szCs w:val="22"/>
                <w:lang w:eastAsia="en-US"/>
              </w:rPr>
              <w:t xml:space="preserve">Лізуючий розчин. Використовується для розчинення еритроцитів, точного підрахунку лейкоцитів (з аналізом їх розподілу) і вимірювання рівня гемоглобіну. </w:t>
            </w:r>
            <w:r>
              <w:rPr>
                <w:rFonts w:eastAsia="Calibri"/>
                <w:sz w:val="22"/>
                <w:szCs w:val="22"/>
                <w:lang w:val="ru-RU" w:eastAsia="en-US"/>
              </w:rPr>
              <w:t>Реагент повинен бути адаптовний до аналізатора XP-300 (SYSMEX). Об'єм не менш ніж 500 мілілітрів в упаковці. Склад: органічна чотирьохвалентна сіль амонію 8,5 г/л,</w:t>
              <w:br/>
              <w:t xml:space="preserve">хлорид натрію 0,6 г/л. </w:t>
            </w:r>
          </w:p>
        </w:tc>
        <w:tc>
          <w:tcPr>
            <w:tcW w:w="1060" w:type="dxa"/>
            <w:tcBorders>
              <w:top w:val="single" w:sz="8" w:space="0" w:color="000000"/>
              <w:bottom w:val="single" w:sz="8" w:space="0" w:color="000000"/>
              <w:right w:val="single" w:sz="4" w:space="0" w:color="000000"/>
            </w:tcBorders>
          </w:tcPr>
          <w:p>
            <w:pPr>
              <w:pStyle w:val="Normal"/>
              <w:widowControl w:val="false"/>
              <w:jc w:val="center"/>
              <w:rPr>
                <w:color w:val="000000"/>
                <w:sz w:val="22"/>
                <w:szCs w:val="22"/>
              </w:rPr>
            </w:pPr>
            <w:r>
              <w:rPr>
                <w:rFonts w:eastAsia="Batang"/>
                <w:bCs/>
                <w:iCs/>
                <w:sz w:val="20"/>
                <w:szCs w:val="20"/>
                <w:lang w:eastAsia="en-US"/>
              </w:rPr>
              <w:t>упак</w:t>
            </w:r>
          </w:p>
        </w:tc>
        <w:tc>
          <w:tcPr>
            <w:tcW w:w="956" w:type="dxa"/>
            <w:tcBorders>
              <w:top w:val="single" w:sz="8" w:space="0" w:color="000000"/>
              <w:bottom w:val="single" w:sz="8" w:space="0" w:color="000000"/>
              <w:right w:val="single" w:sz="4" w:space="0" w:color="000000"/>
            </w:tcBorders>
          </w:tcPr>
          <w:p>
            <w:pPr>
              <w:pStyle w:val="Normal"/>
              <w:widowControl w:val="false"/>
              <w:jc w:val="center"/>
              <w:rPr>
                <w:color w:val="000000"/>
                <w:sz w:val="22"/>
                <w:szCs w:val="22"/>
              </w:rPr>
            </w:pPr>
            <w:r>
              <w:rPr>
                <w:rFonts w:eastAsia="Batang"/>
                <w:bCs/>
                <w:iCs/>
                <w:sz w:val="20"/>
                <w:szCs w:val="20"/>
                <w:lang w:eastAsia="en-US"/>
              </w:rPr>
              <w:t>5</w:t>
            </w:r>
          </w:p>
        </w:tc>
      </w:tr>
      <w:tr>
        <w:trPr>
          <w:trHeight w:val="301" w:hRule="atLeast"/>
        </w:trPr>
        <w:tc>
          <w:tcPr>
            <w:tcW w:w="638" w:type="dxa"/>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color w:val="000000"/>
                <w:sz w:val="22"/>
                <w:szCs w:val="22"/>
              </w:rPr>
            </w:pPr>
            <w:r>
              <w:rPr>
                <w:color w:val="000000"/>
                <w:sz w:val="22"/>
                <w:szCs w:val="22"/>
              </w:rPr>
              <w:t>4</w:t>
            </w:r>
          </w:p>
        </w:tc>
        <w:tc>
          <w:tcPr>
            <w:tcW w:w="1800"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rPr>
            </w:pPr>
            <w:r>
              <w:rPr>
                <w:rFonts w:eastAsia="Batang"/>
                <w:bCs/>
                <w:iCs/>
                <w:sz w:val="20"/>
                <w:szCs w:val="20"/>
                <w:lang w:eastAsia="en-US"/>
              </w:rPr>
              <w:t xml:space="preserve">Матеріал контрольний ЕЙТЧЕК – 3 </w:t>
            </w:r>
            <w:r>
              <w:rPr>
                <w:rFonts w:eastAsia="Batang"/>
                <w:bCs/>
                <w:iCs/>
                <w:sz w:val="20"/>
                <w:szCs w:val="20"/>
                <w:lang w:val="en-US" w:eastAsia="en-US"/>
              </w:rPr>
              <w:t>WP</w:t>
            </w:r>
            <w:r>
              <w:rPr>
                <w:rFonts w:eastAsia="Batang"/>
                <w:bCs/>
                <w:iCs/>
                <w:sz w:val="20"/>
                <w:szCs w:val="20"/>
                <w:lang w:val="ru-RU" w:eastAsia="en-US"/>
              </w:rPr>
              <w:t xml:space="preserve"> – </w:t>
            </w:r>
            <w:r>
              <w:rPr>
                <w:rFonts w:eastAsia="Batang"/>
                <w:bCs/>
                <w:iCs/>
                <w:sz w:val="20"/>
                <w:szCs w:val="20"/>
                <w:lang w:val="en-US" w:eastAsia="en-US"/>
              </w:rPr>
              <w:t>N</w:t>
            </w:r>
            <w:r>
              <w:rPr>
                <w:rFonts w:eastAsia="Batang"/>
                <w:bCs/>
                <w:iCs/>
                <w:sz w:val="20"/>
                <w:szCs w:val="20"/>
                <w:lang w:val="ru-RU" w:eastAsia="en-US"/>
              </w:rPr>
              <w:t xml:space="preserve"> 1.5 </w:t>
            </w:r>
            <w:r>
              <w:rPr>
                <w:rFonts w:eastAsia="Batang"/>
                <w:bCs/>
                <w:iCs/>
                <w:sz w:val="20"/>
                <w:szCs w:val="20"/>
                <w:lang w:val="en-US" w:eastAsia="en-US"/>
              </w:rPr>
              <w:t>ml</w:t>
            </w:r>
          </w:p>
        </w:tc>
        <w:tc>
          <w:tcPr>
            <w:tcW w:w="2547" w:type="dxa"/>
            <w:tcBorders>
              <w:top w:val="single" w:sz="8" w:space="0" w:color="000000"/>
              <w:bottom w:val="single" w:sz="8"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55866 -Підрахунок клітин крові IVD (діагностика in vitro ), контрольний матеріал</w:t>
            </w:r>
          </w:p>
        </w:tc>
        <w:tc>
          <w:tcPr>
            <w:tcW w:w="3545" w:type="dxa"/>
            <w:tcBorders>
              <w:top w:val="single" w:sz="8" w:space="0" w:color="000000"/>
              <w:bottom w:val="single" w:sz="8" w:space="0" w:color="000000"/>
              <w:right w:val="single" w:sz="4" w:space="0" w:color="000000"/>
            </w:tcBorders>
            <w:vAlign w:val="center"/>
          </w:tcPr>
          <w:p>
            <w:pPr>
              <w:pStyle w:val="Normal"/>
              <w:widowControl w:val="false"/>
              <w:jc w:val="center"/>
              <w:rPr>
                <w:color w:val="000000"/>
                <w:sz w:val="22"/>
                <w:szCs w:val="22"/>
              </w:rPr>
            </w:pPr>
            <w:r>
              <w:rPr>
                <w:rFonts w:eastAsia="Calibri"/>
                <w:sz w:val="20"/>
                <w:szCs w:val="20"/>
                <w:lang w:val="ru-RU" w:eastAsia="en-US"/>
              </w:rPr>
              <w:t xml:space="preserve">Матеріал контрольний для аналізаторів гематологічних призначений для внутрішньо-лабораторного контролю якості по вимірюванню компонентного складу крові і зовнішніх оцінках якості, рівень - нормальний. Контрольний матеріал повинен бути адаптованим до аналізатору ХР-300 (SYSMEX). Об'єм не більш ніж 1.5 мілілітра в флаконі. </w:t>
            </w:r>
          </w:p>
        </w:tc>
        <w:tc>
          <w:tcPr>
            <w:tcW w:w="1060" w:type="dxa"/>
            <w:tcBorders>
              <w:top w:val="single" w:sz="8" w:space="0" w:color="000000"/>
              <w:bottom w:val="single" w:sz="8" w:space="0" w:color="000000"/>
              <w:right w:val="single" w:sz="4" w:space="0" w:color="000000"/>
            </w:tcBorders>
          </w:tcPr>
          <w:p>
            <w:pPr>
              <w:pStyle w:val="Normal"/>
              <w:widowControl w:val="false"/>
              <w:jc w:val="center"/>
              <w:rPr>
                <w:color w:val="000000"/>
                <w:sz w:val="22"/>
                <w:szCs w:val="22"/>
              </w:rPr>
            </w:pPr>
            <w:r>
              <w:rPr>
                <w:rFonts w:eastAsia="Batang"/>
                <w:bCs/>
                <w:iCs/>
                <w:sz w:val="20"/>
                <w:szCs w:val="20"/>
                <w:lang w:eastAsia="en-US"/>
              </w:rPr>
              <w:t>пляш</w:t>
            </w:r>
          </w:p>
        </w:tc>
        <w:tc>
          <w:tcPr>
            <w:tcW w:w="956" w:type="dxa"/>
            <w:tcBorders>
              <w:top w:val="single" w:sz="8" w:space="0" w:color="000000"/>
              <w:bottom w:val="single" w:sz="8" w:space="0" w:color="000000"/>
              <w:right w:val="single" w:sz="4" w:space="0" w:color="000000"/>
            </w:tcBorders>
          </w:tcPr>
          <w:p>
            <w:pPr>
              <w:pStyle w:val="Normal"/>
              <w:widowControl w:val="false"/>
              <w:jc w:val="center"/>
              <w:rPr>
                <w:color w:val="000000"/>
                <w:sz w:val="22"/>
                <w:szCs w:val="22"/>
              </w:rPr>
            </w:pPr>
            <w:r>
              <w:rPr>
                <w:rFonts w:eastAsia="Batang"/>
                <w:bCs/>
                <w:iCs/>
                <w:sz w:val="20"/>
                <w:szCs w:val="20"/>
                <w:lang w:eastAsia="en-US"/>
              </w:rPr>
              <w:t>6</w:t>
            </w:r>
          </w:p>
        </w:tc>
      </w:tr>
      <w:tr>
        <w:trPr>
          <w:trHeight w:val="355" w:hRule="atLeast"/>
        </w:trPr>
        <w:tc>
          <w:tcPr>
            <w:tcW w:w="638" w:type="dxa"/>
            <w:tcBorders>
              <w:top w:val="sing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color w:val="000000"/>
                <w:sz w:val="22"/>
                <w:szCs w:val="22"/>
              </w:rPr>
            </w:pPr>
            <w:r>
              <w:rPr>
                <w:color w:val="000000"/>
                <w:sz w:val="22"/>
                <w:szCs w:val="22"/>
              </w:rPr>
              <w:t>5</w:t>
            </w:r>
          </w:p>
        </w:tc>
        <w:tc>
          <w:tcPr>
            <w:tcW w:w="1800" w:type="dxa"/>
            <w:tcBorders>
              <w:top w:val="single" w:sz="8" w:space="0" w:color="000000"/>
              <w:bottom w:val="single" w:sz="4" w:space="0" w:color="000000"/>
              <w:right w:val="single" w:sz="8" w:space="0" w:color="000000"/>
            </w:tcBorders>
            <w:shd w:color="auto" w:fill="auto" w:val="clear"/>
            <w:vAlign w:val="center"/>
          </w:tcPr>
          <w:p>
            <w:pPr>
              <w:pStyle w:val="Normal"/>
              <w:widowControl w:val="false"/>
              <w:jc w:val="center"/>
              <w:rPr>
                <w:color w:val="000000"/>
                <w:sz w:val="22"/>
                <w:szCs w:val="22"/>
              </w:rPr>
            </w:pPr>
            <w:r>
              <w:rPr>
                <w:rFonts w:eastAsia="Batang"/>
                <w:bCs/>
                <w:iCs/>
                <w:sz w:val="20"/>
                <w:szCs w:val="20"/>
                <w:lang w:eastAsia="en-US"/>
              </w:rPr>
              <w:t>СпЛ Контроль сечі - ПГЧ</w:t>
            </w:r>
          </w:p>
        </w:tc>
        <w:tc>
          <w:tcPr>
            <w:tcW w:w="2547" w:type="dxa"/>
            <w:tcBorders>
              <w:top w:val="single" w:sz="8"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30219 - Множинні аналіти сечі IVD (діагностика in vitro ), контрольний матеріал</w:t>
            </w:r>
          </w:p>
        </w:tc>
        <w:tc>
          <w:tcPr>
            <w:tcW w:w="3545" w:type="dxa"/>
            <w:tcBorders>
              <w:top w:val="single" w:sz="8" w:space="0" w:color="000000"/>
              <w:bottom w:val="single" w:sz="4" w:space="0" w:color="000000"/>
              <w:right w:val="single" w:sz="4" w:space="0" w:color="000000"/>
            </w:tcBorders>
            <w:vAlign w:val="center"/>
          </w:tcPr>
          <w:p>
            <w:pPr>
              <w:pStyle w:val="Normal"/>
              <w:widowControl w:val="false"/>
              <w:shd w:val="clear" w:color="auto" w:fill="FFFFFF"/>
              <w:rPr>
                <w:color w:val="000000"/>
                <w:sz w:val="20"/>
                <w:szCs w:val="20"/>
              </w:rPr>
            </w:pPr>
            <w:r>
              <w:rPr>
                <w:color w:val="000000"/>
                <w:sz w:val="20"/>
                <w:szCs w:val="20"/>
                <w:lang w:val="ru-RU"/>
              </w:rPr>
              <w:t>Призначені для контролю правильності та відтворюваності результатів</w:t>
            </w:r>
          </w:p>
          <w:p>
            <w:pPr>
              <w:pStyle w:val="Normal"/>
              <w:widowControl w:val="false"/>
              <w:shd w:val="clear" w:color="auto" w:fill="FFFFFF"/>
              <w:rPr>
                <w:color w:val="000000"/>
                <w:sz w:val="20"/>
                <w:szCs w:val="20"/>
              </w:rPr>
            </w:pPr>
            <w:r>
              <w:rPr>
                <w:color w:val="000000"/>
                <w:sz w:val="20"/>
                <w:szCs w:val="20"/>
              </w:rPr>
              <w:t>дослідження в сечі: білків (з сульфосаліциловою кислотою, з пірогалоловим червоним, тест-смужками),</w:t>
            </w:r>
          </w:p>
          <w:p>
            <w:pPr>
              <w:pStyle w:val="Normal"/>
              <w:widowControl w:val="false"/>
              <w:shd w:val="clear" w:color="auto" w:fill="FFFFFF"/>
              <w:rPr>
                <w:color w:val="000000"/>
                <w:sz w:val="20"/>
                <w:szCs w:val="20"/>
              </w:rPr>
            </w:pPr>
            <w:r>
              <w:rPr>
                <w:color w:val="000000"/>
                <w:sz w:val="20"/>
                <w:szCs w:val="20"/>
                <w:lang w:val="ru-RU"/>
              </w:rPr>
              <w:t>глюкози (глюкозоксидазним методом, якісним методом за реакцією Бенедікта, з тест-смужками), рН (з тест-смужками)</w:t>
            </w:r>
          </w:p>
          <w:p>
            <w:pPr>
              <w:pStyle w:val="Normal"/>
              <w:widowControl w:val="false"/>
              <w:shd w:val="clear" w:color="auto" w:fill="FFFFFF"/>
              <w:rPr>
                <w:color w:val="000000"/>
                <w:sz w:val="20"/>
                <w:szCs w:val="20"/>
              </w:rPr>
            </w:pPr>
            <w:r>
              <w:rPr>
                <w:color w:val="000000"/>
                <w:sz w:val="20"/>
                <w:szCs w:val="20"/>
                <w:lang w:val="ru-RU"/>
              </w:rPr>
              <w:t>Склад набору</w:t>
            </w:r>
          </w:p>
          <w:p>
            <w:pPr>
              <w:pStyle w:val="Normal"/>
              <w:widowControl w:val="false"/>
              <w:shd w:val="clear" w:color="auto" w:fill="FFFFFF"/>
              <w:rPr>
                <w:color w:val="000000"/>
                <w:sz w:val="20"/>
                <w:szCs w:val="20"/>
              </w:rPr>
            </w:pPr>
            <w:r>
              <w:rPr>
                <w:color w:val="000000"/>
                <w:sz w:val="20"/>
                <w:szCs w:val="20"/>
                <w:lang w:val="ru-RU"/>
              </w:rPr>
              <w:t>1. Реагент 1. Контрольний розчин 1.</w:t>
            </w:r>
          </w:p>
          <w:p>
            <w:pPr>
              <w:pStyle w:val="Normal"/>
              <w:widowControl w:val="false"/>
              <w:shd w:val="clear" w:color="auto" w:fill="FFFFFF"/>
              <w:rPr>
                <w:color w:val="000000"/>
                <w:sz w:val="20"/>
                <w:szCs w:val="20"/>
              </w:rPr>
            </w:pPr>
            <w:r>
              <w:rPr>
                <w:color w:val="000000"/>
                <w:sz w:val="20"/>
                <w:szCs w:val="20"/>
                <w:lang w:val="ru-RU"/>
              </w:rPr>
              <w:t>2. Реагент 2. Контрольний розчин 2.</w:t>
            </w:r>
          </w:p>
          <w:p>
            <w:pPr>
              <w:pStyle w:val="Normal"/>
              <w:widowControl w:val="false"/>
              <w:shd w:val="clear" w:color="auto" w:fill="FFFFFF"/>
              <w:rPr>
                <w:color w:val="000000"/>
                <w:sz w:val="20"/>
                <w:szCs w:val="20"/>
              </w:rPr>
            </w:pPr>
            <w:r>
              <w:rPr>
                <w:color w:val="000000"/>
                <w:sz w:val="20"/>
                <w:szCs w:val="20"/>
                <w:lang w:val="ru-RU"/>
              </w:rPr>
              <w:t>3. Реагент 3. Контрольний розчин 3.</w:t>
            </w:r>
          </w:p>
          <w:p>
            <w:pPr>
              <w:pStyle w:val="Normal"/>
              <w:widowControl w:val="false"/>
              <w:shd w:val="clear" w:color="auto" w:fill="FFFFFF"/>
              <w:rPr>
                <w:color w:val="000000"/>
                <w:sz w:val="20"/>
                <w:szCs w:val="20"/>
              </w:rPr>
            </w:pPr>
            <w:r>
              <w:rPr>
                <w:color w:val="000000"/>
                <w:sz w:val="20"/>
                <w:szCs w:val="20"/>
                <w:lang w:val="ru-RU"/>
              </w:rPr>
              <w:t>4. Реагент 4. Контрольний розчин 4.</w:t>
            </w:r>
          </w:p>
          <w:p>
            <w:pPr>
              <w:pStyle w:val="Normal"/>
              <w:widowControl w:val="false"/>
              <w:shd w:val="clear" w:color="auto" w:fill="FFFFFF"/>
              <w:rPr>
                <w:color w:val="000000"/>
                <w:sz w:val="20"/>
                <w:szCs w:val="20"/>
              </w:rPr>
            </w:pPr>
            <w:r>
              <w:rPr>
                <w:color w:val="000000"/>
                <w:sz w:val="20"/>
                <w:szCs w:val="20"/>
                <w:lang w:val="ru-RU"/>
              </w:rPr>
              <w:t>(Точні значення концентрацій білка, глюкози та рН вказані в Паспорті до набору)</w:t>
            </w:r>
          </w:p>
          <w:p>
            <w:pPr>
              <w:pStyle w:val="Normal"/>
              <w:widowControl w:val="false"/>
              <w:shd w:val="clear" w:color="auto" w:fill="FFFFFF"/>
              <w:rPr>
                <w:color w:val="000000"/>
                <w:sz w:val="20"/>
                <w:szCs w:val="20"/>
              </w:rPr>
            </w:pPr>
            <w:r>
              <w:rPr>
                <w:color w:val="000000"/>
                <w:sz w:val="20"/>
                <w:szCs w:val="20"/>
                <w:lang w:val="ru-RU"/>
              </w:rPr>
              <w:t>5. Інструкція з використання.</w:t>
            </w:r>
          </w:p>
          <w:p>
            <w:pPr>
              <w:pStyle w:val="Normal"/>
              <w:widowControl w:val="false"/>
              <w:shd w:val="clear" w:color="auto" w:fill="FFFFFF"/>
              <w:rPr>
                <w:color w:val="000000"/>
                <w:sz w:val="20"/>
                <w:szCs w:val="20"/>
              </w:rPr>
            </w:pPr>
            <w:r>
              <w:rPr>
                <w:color w:val="000000"/>
                <w:sz w:val="20"/>
                <w:szCs w:val="20"/>
                <w:lang w:val="ru-RU"/>
              </w:rPr>
              <w:t>6. Паспорт.</w:t>
            </w:r>
          </w:p>
          <w:p>
            <w:pPr>
              <w:pStyle w:val="Normal"/>
              <w:widowControl w:val="false"/>
              <w:shd w:val="clear" w:color="auto" w:fill="FFFFFF"/>
              <w:rPr>
                <w:color w:val="000000"/>
                <w:sz w:val="20"/>
                <w:szCs w:val="20"/>
              </w:rPr>
            </w:pPr>
            <w:r>
              <w:rPr>
                <w:color w:val="000000"/>
                <w:sz w:val="20"/>
                <w:szCs w:val="20"/>
                <w:lang w:val="ru-RU"/>
              </w:rPr>
              <w:t>Аналітичні характеристики</w:t>
            </w:r>
          </w:p>
          <w:p>
            <w:pPr>
              <w:pStyle w:val="Normal"/>
              <w:widowControl w:val="false"/>
              <w:shd w:val="clear" w:color="auto" w:fill="FFFFFF"/>
              <w:rPr>
                <w:color w:val="000000"/>
                <w:sz w:val="20"/>
                <w:szCs w:val="20"/>
              </w:rPr>
            </w:pPr>
            <w:r>
              <w:rPr>
                <w:color w:val="000000"/>
                <w:sz w:val="20"/>
                <w:szCs w:val="20"/>
                <w:lang w:val="ru-RU"/>
              </w:rPr>
              <w:t>1. Білок 0.1-1 г/л ±5%.</w:t>
            </w:r>
          </w:p>
          <w:p>
            <w:pPr>
              <w:pStyle w:val="Normal"/>
              <w:widowControl w:val="false"/>
              <w:shd w:val="clear" w:color="auto" w:fill="FFFFFF"/>
              <w:rPr>
                <w:color w:val="000000"/>
                <w:sz w:val="20"/>
                <w:szCs w:val="20"/>
              </w:rPr>
            </w:pPr>
            <w:r>
              <w:rPr>
                <w:color w:val="000000"/>
                <w:sz w:val="20"/>
                <w:szCs w:val="20"/>
                <w:lang w:val="ru-RU"/>
              </w:rPr>
              <w:t>2. Глюкоза 1.5-6.5 ммоль/л ±5%.</w:t>
            </w:r>
          </w:p>
          <w:p>
            <w:pPr>
              <w:pStyle w:val="Normal"/>
              <w:widowControl w:val="false"/>
              <w:jc w:val="center"/>
              <w:rPr>
                <w:color w:val="000000"/>
                <w:sz w:val="22"/>
                <w:szCs w:val="22"/>
              </w:rPr>
            </w:pPr>
            <w:r>
              <w:rPr>
                <w:color w:val="000000"/>
                <w:sz w:val="20"/>
                <w:szCs w:val="20"/>
                <w:lang w:val="ru-RU"/>
              </w:rPr>
              <w:t>Контрольний матеріал готовий до використання.</w:t>
            </w:r>
          </w:p>
        </w:tc>
        <w:tc>
          <w:tcPr>
            <w:tcW w:w="1060" w:type="dxa"/>
            <w:tcBorders>
              <w:top w:val="single" w:sz="8" w:space="0" w:color="000000"/>
              <w:bottom w:val="single" w:sz="4" w:space="0" w:color="000000"/>
              <w:right w:val="single" w:sz="4" w:space="0" w:color="000000"/>
            </w:tcBorders>
          </w:tcPr>
          <w:p>
            <w:pPr>
              <w:pStyle w:val="Normal"/>
              <w:widowControl w:val="false"/>
              <w:rPr>
                <w:color w:val="000000"/>
                <w:sz w:val="22"/>
                <w:szCs w:val="22"/>
              </w:rPr>
            </w:pPr>
            <w:r>
              <w:rPr>
                <w:rFonts w:eastAsia="Batang"/>
                <w:bCs/>
                <w:iCs/>
                <w:sz w:val="20"/>
                <w:szCs w:val="20"/>
                <w:lang w:eastAsia="en-US"/>
              </w:rPr>
              <w:t>упак</w:t>
            </w:r>
          </w:p>
        </w:tc>
        <w:tc>
          <w:tcPr>
            <w:tcW w:w="956" w:type="dxa"/>
            <w:tcBorders>
              <w:top w:val="single" w:sz="8" w:space="0" w:color="000000"/>
              <w:bottom w:val="single" w:sz="4" w:space="0" w:color="000000"/>
              <w:right w:val="single" w:sz="4" w:space="0" w:color="000000"/>
            </w:tcBorders>
          </w:tcPr>
          <w:p>
            <w:pPr>
              <w:pStyle w:val="Normal"/>
              <w:widowControl w:val="false"/>
              <w:jc w:val="center"/>
              <w:rPr>
                <w:color w:val="000000"/>
                <w:sz w:val="22"/>
                <w:szCs w:val="22"/>
              </w:rPr>
            </w:pPr>
            <w:r>
              <w:rPr>
                <w:rFonts w:eastAsia="Batang"/>
                <w:bCs/>
                <w:iCs/>
                <w:sz w:val="20"/>
                <w:szCs w:val="20"/>
                <w:lang w:eastAsia="en-US"/>
              </w:rPr>
              <w:t>2</w:t>
            </w:r>
          </w:p>
        </w:tc>
      </w:tr>
      <w:tr>
        <w:trPr>
          <w:trHeight w:val="144" w:hRule="atLeast"/>
        </w:trPr>
        <w:tc>
          <w:tcPr>
            <w:tcW w:w="638" w:type="dxa"/>
            <w:tcBorders>
              <w:top w:val="single" w:sz="4" w:space="0" w:color="000000"/>
              <w:left w:val="single" w:sz="8" w:space="0" w:color="000000"/>
              <w:right w:val="single" w:sz="8" w:space="0" w:color="000000"/>
            </w:tcBorders>
            <w:shd w:color="auto" w:fill="auto" w:val="clear"/>
            <w:vAlign w:val="center"/>
          </w:tcPr>
          <w:p>
            <w:pPr>
              <w:pStyle w:val="Normal"/>
              <w:widowControl w:val="false"/>
              <w:jc w:val="center"/>
              <w:rPr>
                <w:color w:val="000000"/>
                <w:sz w:val="22"/>
                <w:szCs w:val="22"/>
              </w:rPr>
            </w:pPr>
            <w:r>
              <w:rPr>
                <w:color w:val="000000"/>
                <w:sz w:val="22"/>
                <w:szCs w:val="22"/>
              </w:rPr>
              <w:t>6</w:t>
            </w:r>
          </w:p>
        </w:tc>
        <w:tc>
          <w:tcPr>
            <w:tcW w:w="1800" w:type="dxa"/>
            <w:tcBorders>
              <w:top w:val="single" w:sz="4" w:space="0" w:color="000000"/>
              <w:right w:val="single" w:sz="8" w:space="0" w:color="000000"/>
            </w:tcBorders>
            <w:shd w:color="auto" w:fill="auto" w:val="clear"/>
            <w:vAlign w:val="center"/>
          </w:tcPr>
          <w:p>
            <w:pPr>
              <w:pStyle w:val="Normal"/>
              <w:widowControl w:val="false"/>
              <w:jc w:val="center"/>
              <w:rPr>
                <w:color w:val="000000"/>
                <w:sz w:val="22"/>
                <w:szCs w:val="22"/>
              </w:rPr>
            </w:pPr>
            <w:r>
              <w:rPr>
                <w:sz w:val="20"/>
                <w:szCs w:val="20"/>
                <w:lang w:val="ru-RU" w:eastAsia="en-US"/>
              </w:rPr>
              <w:t>ABX Cleaner 1 л (L), ферментативний розчин</w:t>
            </w:r>
          </w:p>
        </w:tc>
        <w:tc>
          <w:tcPr>
            <w:tcW w:w="2547" w:type="dxa"/>
            <w:tcBorders>
              <w:top w:val="single" w:sz="4" w:space="0" w:color="000000"/>
              <w:right w:val="single" w:sz="4" w:space="0" w:color="000000"/>
            </w:tcBorders>
            <w:shd w:color="auto" w:fill="auto" w:val="clear"/>
            <w:vAlign w:val="center"/>
          </w:tcPr>
          <w:p>
            <w:pPr>
              <w:pStyle w:val="Normal"/>
              <w:widowControl w:val="false"/>
              <w:rPr>
                <w:color w:val="000000"/>
                <w:sz w:val="20"/>
                <w:szCs w:val="20"/>
              </w:rPr>
            </w:pPr>
            <w:r>
              <w:rPr>
                <w:rFonts w:eastAsia="Calibri"/>
                <w:color w:val="000000"/>
                <w:sz w:val="20"/>
                <w:szCs w:val="20"/>
                <w:lang w:val="ru-RU" w:eastAsia="en-US"/>
              </w:rPr>
              <w:t>59058 – Мийний / очищувальний розчин IVD (діагностика in vitro ) для</w:t>
            </w:r>
          </w:p>
          <w:p>
            <w:pPr>
              <w:pStyle w:val="Normal"/>
              <w:widowControl w:val="false"/>
              <w:rPr>
                <w:color w:val="000000"/>
                <w:sz w:val="20"/>
                <w:szCs w:val="20"/>
              </w:rPr>
            </w:pPr>
            <w:r>
              <w:rPr>
                <w:rFonts w:eastAsia="Calibri"/>
                <w:color w:val="000000"/>
                <w:sz w:val="20"/>
                <w:szCs w:val="20"/>
                <w:lang w:val="ru-RU" w:eastAsia="en-US"/>
              </w:rPr>
              <w:t>автоматизованих/</w:t>
            </w:r>
          </w:p>
          <w:p>
            <w:pPr>
              <w:pStyle w:val="Normal"/>
              <w:widowControl w:val="false"/>
              <w:rPr>
                <w:color w:val="000000"/>
                <w:sz w:val="20"/>
                <w:szCs w:val="20"/>
              </w:rPr>
            </w:pPr>
            <w:r>
              <w:rPr>
                <w:rFonts w:eastAsia="Calibri"/>
                <w:color w:val="000000"/>
                <w:sz w:val="20"/>
                <w:szCs w:val="20"/>
                <w:lang w:val="ru-RU" w:eastAsia="en-US"/>
              </w:rPr>
              <w:t>напівавтоматизованих</w:t>
            </w:r>
          </w:p>
          <w:p>
            <w:pPr>
              <w:pStyle w:val="Normal"/>
              <w:widowControl w:val="false"/>
              <w:jc w:val="center"/>
              <w:rPr>
                <w:color w:val="000000"/>
                <w:sz w:val="22"/>
                <w:szCs w:val="22"/>
              </w:rPr>
            </w:pPr>
            <w:r>
              <w:rPr>
                <w:rFonts w:eastAsia="Calibri"/>
                <w:color w:val="000000"/>
                <w:sz w:val="20"/>
                <w:szCs w:val="20"/>
                <w:lang w:val="ru-RU" w:eastAsia="en-US"/>
              </w:rPr>
              <w:t>систем</w:t>
            </w:r>
          </w:p>
        </w:tc>
        <w:tc>
          <w:tcPr>
            <w:tcW w:w="3545" w:type="dxa"/>
            <w:tcBorders>
              <w:top w:val="single" w:sz="4" w:space="0" w:color="000000"/>
              <w:bottom w:val="single" w:sz="8" w:space="0" w:color="000000"/>
              <w:right w:val="single" w:sz="4" w:space="0" w:color="000000"/>
            </w:tcBorders>
            <w:vAlign w:val="center"/>
          </w:tcPr>
          <w:p>
            <w:pPr>
              <w:pStyle w:val="NoSpacing"/>
              <w:widowControl w:val="false"/>
              <w:rPr>
                <w:rFonts w:ascii="Times New Roman" w:hAnsi="Times New Roman"/>
                <w:color w:val="000000"/>
                <w:sz w:val="20"/>
                <w:szCs w:val="20"/>
              </w:rPr>
            </w:pPr>
            <w:r>
              <w:rPr>
                <w:rFonts w:eastAsia="Calibri" w:ascii="Times New Roman" w:hAnsi="Times New Roman"/>
                <w:color w:val="000000"/>
                <w:sz w:val="20"/>
                <w:szCs w:val="20"/>
              </w:rPr>
              <w:t>До складу реагенту повинні входити наступні інгредієнти:</w:t>
            </w:r>
          </w:p>
          <w:p>
            <w:pPr>
              <w:pStyle w:val="NoSpacing"/>
              <w:widowControl w:val="false"/>
              <w:rPr>
                <w:rFonts w:ascii="Times New Roman" w:hAnsi="Times New Roman"/>
                <w:sz w:val="20"/>
                <w:szCs w:val="20"/>
              </w:rPr>
            </w:pPr>
            <w:r>
              <w:rPr>
                <w:rFonts w:eastAsia="Calibri" w:ascii="Times New Roman" w:hAnsi="Times New Roman"/>
                <w:sz w:val="20"/>
                <w:szCs w:val="20"/>
              </w:rPr>
              <w:t xml:space="preserve">Органічний буфер </w:t>
            </w:r>
            <w:r>
              <w:rPr>
                <w:rFonts w:eastAsia="Calibri" w:ascii="Times New Roman" w:hAnsi="Times New Roman"/>
                <w:color w:val="000000"/>
                <w:sz w:val="20"/>
                <w:szCs w:val="20"/>
              </w:rPr>
              <w:t>менше 50 мл</w:t>
            </w:r>
            <w:r>
              <w:rPr>
                <w:rFonts w:eastAsia="Calibri" w:ascii="Times New Roman" w:hAnsi="Times New Roman"/>
                <w:sz w:val="20"/>
                <w:szCs w:val="20"/>
              </w:rPr>
              <w:t xml:space="preserve"> </w:t>
            </w:r>
          </w:p>
          <w:p>
            <w:pPr>
              <w:pStyle w:val="NoSpacing"/>
              <w:widowControl w:val="false"/>
              <w:rPr>
                <w:rFonts w:ascii="Times New Roman" w:hAnsi="Times New Roman"/>
                <w:sz w:val="20"/>
                <w:szCs w:val="20"/>
              </w:rPr>
            </w:pPr>
            <w:r>
              <w:rPr>
                <w:rFonts w:eastAsia="Calibri" w:ascii="Times New Roman" w:hAnsi="Times New Roman"/>
                <w:sz w:val="20"/>
                <w:szCs w:val="20"/>
              </w:rPr>
              <w:t xml:space="preserve">Протеолітичний ензим </w:t>
            </w:r>
            <w:r>
              <w:rPr>
                <w:rFonts w:eastAsia="Calibri" w:ascii="Times New Roman" w:hAnsi="Times New Roman"/>
                <w:color w:val="000000"/>
                <w:sz w:val="20"/>
                <w:szCs w:val="20"/>
              </w:rPr>
              <w:t>менше 10 мл</w:t>
            </w:r>
            <w:r>
              <w:rPr>
                <w:rFonts w:eastAsia="Calibri" w:ascii="Times New Roman" w:hAnsi="Times New Roman"/>
                <w:sz w:val="20"/>
                <w:szCs w:val="20"/>
              </w:rPr>
              <w:t xml:space="preserve">            </w:t>
            </w:r>
          </w:p>
          <w:p>
            <w:pPr>
              <w:pStyle w:val="NoSpacing"/>
              <w:widowControl w:val="false"/>
              <w:rPr>
                <w:rFonts w:ascii="Times New Roman" w:hAnsi="Times New Roman"/>
                <w:color w:val="000000"/>
                <w:sz w:val="20"/>
                <w:szCs w:val="20"/>
              </w:rPr>
            </w:pPr>
            <w:r>
              <w:rPr>
                <w:rFonts w:eastAsia="Calibri" w:ascii="Times New Roman" w:hAnsi="Times New Roman"/>
                <w:sz w:val="20"/>
                <w:szCs w:val="20"/>
              </w:rPr>
              <w:t>Консервант</w:t>
            </w:r>
            <w:r>
              <w:rPr>
                <w:rFonts w:eastAsia="Calibri" w:ascii="Times New Roman" w:hAnsi="Times New Roman"/>
                <w:color w:val="000000"/>
                <w:sz w:val="20"/>
                <w:szCs w:val="20"/>
              </w:rPr>
              <w:t xml:space="preserve"> менше 10 мл.</w:t>
            </w:r>
          </w:p>
          <w:p>
            <w:pPr>
              <w:pStyle w:val="NoSpacing"/>
              <w:widowControl w:val="false"/>
              <w:rPr>
                <w:rFonts w:ascii="Times New Roman" w:hAnsi="Times New Roman"/>
                <w:color w:val="000000"/>
                <w:sz w:val="20"/>
                <w:szCs w:val="20"/>
              </w:rPr>
            </w:pPr>
            <w:r>
              <w:rPr>
                <w:rFonts w:eastAsia="Calibri" w:ascii="Times New Roman" w:hAnsi="Times New Roman"/>
                <w:color w:val="000000"/>
                <w:sz w:val="20"/>
                <w:szCs w:val="20"/>
              </w:rPr>
              <w:t xml:space="preserve">PH розчину повинен бути в діапазоні </w:t>
            </w:r>
            <w:r>
              <w:rPr>
                <w:rFonts w:eastAsia="Calibri" w:ascii="Times New Roman" w:hAnsi="Times New Roman"/>
                <w:color w:val="000000"/>
                <w:sz w:val="20"/>
                <w:szCs w:val="20"/>
                <w:lang w:val="ru-RU"/>
              </w:rPr>
              <w:t>8</w:t>
            </w:r>
            <w:r>
              <w:rPr>
                <w:rFonts w:eastAsia="Calibri" w:ascii="Times New Roman" w:hAnsi="Times New Roman"/>
                <w:color w:val="000000"/>
                <w:sz w:val="20"/>
                <w:szCs w:val="20"/>
              </w:rPr>
              <w:t>,00 ± 0,2</w:t>
            </w:r>
          </w:p>
          <w:p>
            <w:pPr>
              <w:pStyle w:val="NoSpacing"/>
              <w:widowControl w:val="false"/>
              <w:rPr>
                <w:rFonts w:ascii="Times New Roman" w:hAnsi="Times New Roman"/>
                <w:color w:val="000000"/>
                <w:sz w:val="20"/>
                <w:szCs w:val="20"/>
              </w:rPr>
            </w:pPr>
            <w:r>
              <w:rPr>
                <w:rFonts w:eastAsia="Calibri" w:ascii="Times New Roman" w:hAnsi="Times New Roman"/>
                <w:sz w:val="20"/>
                <w:szCs w:val="20"/>
                <w:lang w:val="ru-RU"/>
              </w:rPr>
              <w:t>Адаптовані для</w:t>
            </w:r>
            <w:r>
              <w:rPr>
                <w:rFonts w:eastAsia="Calibri" w:ascii="Times New Roman" w:hAnsi="Times New Roman"/>
                <w:sz w:val="20"/>
                <w:szCs w:val="20"/>
              </w:rPr>
              <w:t xml:space="preserve"> </w:t>
            </w:r>
            <w:r>
              <w:rPr>
                <w:rFonts w:eastAsia="Calibri" w:ascii="Times New Roman" w:hAnsi="Times New Roman"/>
                <w:sz w:val="20"/>
                <w:szCs w:val="20"/>
                <w:lang w:val="ru-RU"/>
              </w:rPr>
              <w:t>аналізатора автоматичного гематологічного серії ABX Micros 60</w:t>
            </w:r>
            <w:r>
              <w:rPr>
                <w:rFonts w:eastAsia="Calibri" w:ascii="Times New Roman" w:hAnsi="Times New Roman"/>
                <w:color w:val="000000"/>
                <w:sz w:val="20"/>
                <w:szCs w:val="20"/>
              </w:rPr>
              <w:t xml:space="preserve"> До складу реагенту повинні входити наступні інгредієнти:</w:t>
            </w:r>
          </w:p>
          <w:p>
            <w:pPr>
              <w:pStyle w:val="NoSpacing"/>
              <w:widowControl w:val="false"/>
              <w:rPr>
                <w:rFonts w:ascii="Times New Roman" w:hAnsi="Times New Roman"/>
                <w:sz w:val="20"/>
                <w:szCs w:val="20"/>
              </w:rPr>
            </w:pPr>
            <w:r>
              <w:rPr>
                <w:rFonts w:eastAsia="Calibri" w:ascii="Times New Roman" w:hAnsi="Times New Roman"/>
                <w:sz w:val="20"/>
                <w:szCs w:val="20"/>
              </w:rPr>
              <w:t xml:space="preserve">Органічний буфер </w:t>
            </w:r>
            <w:r>
              <w:rPr>
                <w:rFonts w:eastAsia="Calibri" w:ascii="Times New Roman" w:hAnsi="Times New Roman"/>
                <w:color w:val="000000"/>
                <w:sz w:val="20"/>
                <w:szCs w:val="20"/>
              </w:rPr>
              <w:t>менше 50 мл</w:t>
            </w:r>
            <w:r>
              <w:rPr>
                <w:rFonts w:eastAsia="Calibri" w:ascii="Times New Roman" w:hAnsi="Times New Roman"/>
                <w:sz w:val="20"/>
                <w:szCs w:val="20"/>
              </w:rPr>
              <w:t xml:space="preserve"> </w:t>
            </w:r>
          </w:p>
          <w:p>
            <w:pPr>
              <w:pStyle w:val="NoSpacing"/>
              <w:widowControl w:val="false"/>
              <w:rPr>
                <w:rFonts w:ascii="Times New Roman" w:hAnsi="Times New Roman"/>
                <w:sz w:val="20"/>
                <w:szCs w:val="20"/>
              </w:rPr>
            </w:pPr>
            <w:r>
              <w:rPr>
                <w:rFonts w:eastAsia="Calibri" w:ascii="Times New Roman" w:hAnsi="Times New Roman"/>
                <w:sz w:val="20"/>
                <w:szCs w:val="20"/>
              </w:rPr>
              <w:t xml:space="preserve">Протеолітичний ензим </w:t>
            </w:r>
            <w:r>
              <w:rPr>
                <w:rFonts w:eastAsia="Calibri" w:ascii="Times New Roman" w:hAnsi="Times New Roman"/>
                <w:color w:val="000000"/>
                <w:sz w:val="20"/>
                <w:szCs w:val="20"/>
              </w:rPr>
              <w:t>менше 10 мл</w:t>
            </w:r>
            <w:r>
              <w:rPr>
                <w:rFonts w:eastAsia="Calibri" w:ascii="Times New Roman" w:hAnsi="Times New Roman"/>
                <w:sz w:val="20"/>
                <w:szCs w:val="20"/>
              </w:rPr>
              <w:t xml:space="preserve">            </w:t>
            </w:r>
          </w:p>
          <w:p>
            <w:pPr>
              <w:pStyle w:val="NoSpacing"/>
              <w:widowControl w:val="false"/>
              <w:rPr>
                <w:rFonts w:ascii="Times New Roman" w:hAnsi="Times New Roman"/>
                <w:color w:val="000000"/>
                <w:sz w:val="20"/>
                <w:szCs w:val="20"/>
              </w:rPr>
            </w:pPr>
            <w:r>
              <w:rPr>
                <w:rFonts w:eastAsia="Calibri" w:ascii="Times New Roman" w:hAnsi="Times New Roman"/>
                <w:sz w:val="20"/>
                <w:szCs w:val="20"/>
              </w:rPr>
              <w:t>Консервант</w:t>
            </w:r>
            <w:r>
              <w:rPr>
                <w:rFonts w:eastAsia="Calibri" w:ascii="Times New Roman" w:hAnsi="Times New Roman"/>
                <w:color w:val="000000"/>
                <w:sz w:val="20"/>
                <w:szCs w:val="20"/>
              </w:rPr>
              <w:t xml:space="preserve"> менше 10 мл.</w:t>
            </w:r>
          </w:p>
          <w:p>
            <w:pPr>
              <w:pStyle w:val="NoSpacing"/>
              <w:widowControl w:val="false"/>
              <w:rPr>
                <w:rFonts w:ascii="Times New Roman" w:hAnsi="Times New Roman"/>
                <w:color w:val="000000"/>
                <w:sz w:val="20"/>
                <w:szCs w:val="20"/>
              </w:rPr>
            </w:pPr>
            <w:r>
              <w:rPr>
                <w:rFonts w:eastAsia="Calibri" w:ascii="Times New Roman" w:hAnsi="Times New Roman"/>
                <w:color w:val="000000"/>
                <w:sz w:val="20"/>
                <w:szCs w:val="20"/>
              </w:rPr>
              <w:t xml:space="preserve">PH розчину повинен бути в діапазоні </w:t>
            </w:r>
            <w:r>
              <w:rPr>
                <w:rFonts w:eastAsia="Calibri" w:ascii="Times New Roman" w:hAnsi="Times New Roman"/>
                <w:color w:val="000000"/>
                <w:sz w:val="20"/>
                <w:szCs w:val="20"/>
                <w:lang w:val="ru-RU"/>
              </w:rPr>
              <w:t>8</w:t>
            </w:r>
            <w:r>
              <w:rPr>
                <w:rFonts w:eastAsia="Calibri" w:ascii="Times New Roman" w:hAnsi="Times New Roman"/>
                <w:color w:val="000000"/>
                <w:sz w:val="20"/>
                <w:szCs w:val="20"/>
              </w:rPr>
              <w:t>,00 ± 0,2</w:t>
            </w:r>
          </w:p>
          <w:p>
            <w:pPr>
              <w:pStyle w:val="Normal"/>
              <w:widowControl w:val="false"/>
              <w:jc w:val="center"/>
              <w:rPr>
                <w:color w:val="000000"/>
                <w:sz w:val="22"/>
                <w:szCs w:val="22"/>
              </w:rPr>
            </w:pPr>
            <w:r>
              <w:rPr>
                <w:rFonts w:eastAsia="Calibri"/>
                <w:sz w:val="20"/>
                <w:szCs w:val="20"/>
                <w:lang w:val="ru-RU" w:eastAsia="en-US"/>
              </w:rPr>
              <w:t>Адаптовані для аналізатора автоматичного гематологічного серії ABX Micros 60</w:t>
            </w:r>
          </w:p>
        </w:tc>
        <w:tc>
          <w:tcPr>
            <w:tcW w:w="1060" w:type="dxa"/>
            <w:tcBorders>
              <w:top w:val="single" w:sz="4" w:space="0" w:color="000000"/>
              <w:bottom w:val="single" w:sz="8" w:space="0" w:color="000000"/>
              <w:right w:val="single" w:sz="4" w:space="0" w:color="000000"/>
            </w:tcBorders>
          </w:tcPr>
          <w:p>
            <w:pPr>
              <w:pStyle w:val="Normal"/>
              <w:widowControl w:val="false"/>
              <w:rPr>
                <w:color w:val="000000"/>
                <w:sz w:val="22"/>
                <w:szCs w:val="22"/>
              </w:rPr>
            </w:pPr>
            <w:r>
              <w:rPr>
                <w:rFonts w:eastAsia="Batang"/>
                <w:bCs/>
                <w:iCs/>
                <w:sz w:val="20"/>
                <w:szCs w:val="20"/>
                <w:lang w:eastAsia="en-US"/>
              </w:rPr>
              <w:t>шт</w:t>
            </w:r>
          </w:p>
        </w:tc>
        <w:tc>
          <w:tcPr>
            <w:tcW w:w="956" w:type="dxa"/>
            <w:tcBorders>
              <w:top w:val="single" w:sz="4" w:space="0" w:color="000000"/>
              <w:bottom w:val="single" w:sz="8" w:space="0" w:color="000000"/>
              <w:right w:val="single" w:sz="4" w:space="0" w:color="000000"/>
            </w:tcBorders>
          </w:tcPr>
          <w:p>
            <w:pPr>
              <w:pStyle w:val="Normal"/>
              <w:widowControl w:val="false"/>
              <w:jc w:val="center"/>
              <w:rPr>
                <w:color w:val="000000"/>
                <w:sz w:val="22"/>
                <w:szCs w:val="22"/>
              </w:rPr>
            </w:pPr>
            <w:r>
              <w:rPr>
                <w:rFonts w:eastAsia="Batang"/>
                <w:bCs/>
                <w:iCs/>
                <w:sz w:val="20"/>
                <w:szCs w:val="20"/>
                <w:lang w:eastAsia="en-US"/>
              </w:rPr>
              <w:t>6</w:t>
            </w:r>
          </w:p>
        </w:tc>
      </w:tr>
      <w:tr>
        <w:trPr>
          <w:trHeight w:val="301" w:hRule="atLeast"/>
        </w:trPr>
        <w:tc>
          <w:tcPr>
            <w:tcW w:w="6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rPr>
            </w:pPr>
            <w:r>
              <w:rPr>
                <w:color w:val="000000"/>
                <w:sz w:val="22"/>
                <w:szCs w:val="22"/>
              </w:rPr>
              <w:t>7</w:t>
            </w:r>
          </w:p>
        </w:tc>
        <w:tc>
          <w:tcPr>
            <w:tcW w:w="1800"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rPr>
            </w:pPr>
            <w:r>
              <w:rPr>
                <w:sz w:val="20"/>
                <w:szCs w:val="20"/>
                <w:lang w:val="ru-RU" w:eastAsia="en-US"/>
              </w:rPr>
              <w:t>ABX Minotrol 16 (2N), розчин для контролю ABX Minotrol 16 (2N), розчин для контролю</w:t>
            </w:r>
          </w:p>
        </w:tc>
        <w:tc>
          <w:tcPr>
            <w:tcW w:w="2547" w:type="dxa"/>
            <w:tcBorders>
              <w:top w:val="single" w:sz="8" w:space="0" w:color="000000"/>
              <w:bottom w:val="single" w:sz="8" w:space="0" w:color="000000"/>
              <w:right w:val="single" w:sz="4" w:space="0" w:color="000000"/>
            </w:tcBorders>
            <w:shd w:color="auto" w:fill="auto" w:val="clear"/>
            <w:vAlign w:val="center"/>
          </w:tcPr>
          <w:p>
            <w:pPr>
              <w:pStyle w:val="Normal"/>
              <w:widowControl w:val="false"/>
              <w:jc w:val="center"/>
              <w:rPr>
                <w:color w:val="000000"/>
                <w:sz w:val="22"/>
                <w:szCs w:val="22"/>
              </w:rPr>
            </w:pPr>
            <w:r>
              <w:rPr>
                <w:rFonts w:eastAsia="Calibri"/>
                <w:color w:val="000000"/>
                <w:sz w:val="20"/>
                <w:szCs w:val="20"/>
                <w:lang w:eastAsia="en-US"/>
              </w:rPr>
              <w:t xml:space="preserve">55866 - Підрахунок клітин крові </w:t>
            </w:r>
            <w:r>
              <w:rPr>
                <w:rFonts w:eastAsia="Calibri"/>
                <w:color w:val="000000"/>
                <w:sz w:val="20"/>
                <w:szCs w:val="20"/>
                <w:lang w:val="ru-RU" w:eastAsia="en-US"/>
              </w:rPr>
              <w:t>IVD</w:t>
            </w:r>
            <w:r>
              <w:rPr>
                <w:rFonts w:eastAsia="Calibri"/>
                <w:color w:val="000000"/>
                <w:sz w:val="20"/>
                <w:szCs w:val="20"/>
                <w:lang w:eastAsia="en-US"/>
              </w:rPr>
              <w:t xml:space="preserve"> (діагностика     </w:t>
            </w:r>
            <w:r>
              <w:rPr>
                <w:rFonts w:eastAsia="Calibri"/>
                <w:color w:val="000000"/>
                <w:sz w:val="20"/>
                <w:szCs w:val="20"/>
                <w:lang w:val="ru-RU" w:eastAsia="en-US"/>
              </w:rPr>
              <w:t>in</w:t>
            </w:r>
            <w:r>
              <w:rPr>
                <w:rFonts w:eastAsia="Calibri"/>
                <w:color w:val="000000"/>
                <w:sz w:val="20"/>
                <w:szCs w:val="20"/>
                <w:lang w:eastAsia="en-US"/>
              </w:rPr>
              <w:t xml:space="preserve"> </w:t>
            </w:r>
            <w:r>
              <w:rPr>
                <w:rFonts w:eastAsia="Calibri"/>
                <w:color w:val="000000"/>
                <w:sz w:val="20"/>
                <w:szCs w:val="20"/>
                <w:lang w:val="ru-RU" w:eastAsia="en-US"/>
              </w:rPr>
              <w:t>vitro</w:t>
            </w:r>
            <w:r>
              <w:rPr>
                <w:rFonts w:eastAsia="Calibri"/>
                <w:color w:val="000000"/>
                <w:sz w:val="20"/>
                <w:szCs w:val="20"/>
                <w:lang w:eastAsia="en-US"/>
              </w:rPr>
              <w:t xml:space="preserve"> ), контрольний матеріал</w:t>
            </w:r>
          </w:p>
        </w:tc>
        <w:tc>
          <w:tcPr>
            <w:tcW w:w="3545" w:type="dxa"/>
            <w:tcBorders>
              <w:top w:val="single" w:sz="8" w:space="0" w:color="000000"/>
              <w:bottom w:val="single" w:sz="8" w:space="0" w:color="000000"/>
              <w:right w:val="single" w:sz="4" w:space="0" w:color="000000"/>
            </w:tcBorders>
            <w:vAlign w:val="center"/>
          </w:tcPr>
          <w:p>
            <w:pPr>
              <w:pStyle w:val="Normal"/>
              <w:widowControl w:val="false"/>
              <w:rPr>
                <w:sz w:val="20"/>
                <w:szCs w:val="20"/>
              </w:rPr>
            </w:pPr>
            <w:r>
              <w:rPr>
                <w:rFonts w:eastAsia="Calibri"/>
                <w:sz w:val="20"/>
                <w:szCs w:val="20"/>
                <w:lang w:val="ru-RU" w:eastAsia="en-US"/>
              </w:rPr>
              <w:t>В наборі 2 флакони</w:t>
            </w:r>
          </w:p>
          <w:p>
            <w:pPr>
              <w:pStyle w:val="Normal"/>
              <w:widowControl w:val="false"/>
              <w:rPr>
                <w:sz w:val="20"/>
                <w:szCs w:val="20"/>
              </w:rPr>
            </w:pPr>
            <w:r>
              <w:rPr>
                <w:rFonts w:eastAsia="Calibri"/>
                <w:sz w:val="20"/>
                <w:szCs w:val="20"/>
                <w:lang w:val="ru-RU" w:eastAsia="en-US"/>
              </w:rPr>
              <w:t>Контрольні значення не менше як для 15 параметрів, обов’язкова наявність таких параметрів лімфоцити, гранулоцити, моноцити</w:t>
            </w:r>
          </w:p>
          <w:p>
            <w:pPr>
              <w:pStyle w:val="Normal"/>
              <w:widowControl w:val="false"/>
              <w:rPr>
                <w:sz w:val="20"/>
                <w:szCs w:val="20"/>
              </w:rPr>
            </w:pPr>
            <w:r>
              <w:rPr>
                <w:rFonts w:eastAsia="Calibri"/>
                <w:sz w:val="20"/>
                <w:szCs w:val="20"/>
                <w:lang w:val="ru-RU" w:eastAsia="en-US"/>
              </w:rPr>
              <w:t>Адаптовані для аналізатора автоматичного гематологічного серії ABX Micros 60</w:t>
            </w:r>
          </w:p>
          <w:p>
            <w:pPr>
              <w:pStyle w:val="Normal"/>
              <w:widowControl w:val="false"/>
              <w:rPr>
                <w:sz w:val="20"/>
                <w:szCs w:val="20"/>
              </w:rPr>
            </w:pPr>
            <w:r>
              <w:rPr>
                <w:rFonts w:eastAsia="Calibri"/>
                <w:sz w:val="20"/>
                <w:szCs w:val="20"/>
                <w:lang w:val="ru-RU" w:eastAsia="en-US"/>
              </w:rPr>
              <w:t>Діапазон нормальних значень для вимірювання для:</w:t>
            </w:r>
          </w:p>
          <w:p>
            <w:pPr>
              <w:pStyle w:val="Normal"/>
              <w:widowControl w:val="false"/>
              <w:rPr>
                <w:sz w:val="20"/>
                <w:szCs w:val="20"/>
              </w:rPr>
            </w:pPr>
            <w:r>
              <w:rPr>
                <w:rFonts w:eastAsia="Calibri"/>
                <w:sz w:val="20"/>
                <w:szCs w:val="20"/>
                <w:lang w:val="en-US" w:eastAsia="en-US"/>
              </w:rPr>
              <w:t>WBC</w:t>
            </w:r>
            <w:r>
              <w:rPr>
                <w:rFonts w:eastAsia="Calibri"/>
                <w:sz w:val="20"/>
                <w:szCs w:val="20"/>
                <w:lang w:val="ru-RU" w:eastAsia="en-US"/>
              </w:rPr>
              <w:t xml:space="preserve"> не більше ±0,8 10</w:t>
            </w:r>
            <w:r>
              <w:rPr>
                <w:rFonts w:eastAsia="Calibri"/>
                <w:sz w:val="20"/>
                <w:szCs w:val="20"/>
                <w:vertAlign w:val="superscript"/>
                <w:lang w:val="ru-RU" w:eastAsia="en-US"/>
              </w:rPr>
              <w:t>9</w:t>
            </w:r>
            <w:r>
              <w:rPr>
                <w:rFonts w:eastAsia="Calibri"/>
                <w:sz w:val="20"/>
                <w:szCs w:val="20"/>
                <w:lang w:val="ru-RU" w:eastAsia="en-US"/>
              </w:rPr>
              <w:t>/</w:t>
            </w:r>
            <w:r>
              <w:rPr>
                <w:rFonts w:eastAsia="Calibri"/>
                <w:sz w:val="20"/>
                <w:szCs w:val="20"/>
                <w:lang w:val="en-US" w:eastAsia="en-US"/>
              </w:rPr>
              <w:t>L</w:t>
            </w:r>
          </w:p>
          <w:p>
            <w:pPr>
              <w:pStyle w:val="Normal"/>
              <w:widowControl w:val="false"/>
              <w:rPr>
                <w:sz w:val="20"/>
                <w:szCs w:val="20"/>
              </w:rPr>
            </w:pPr>
            <w:r>
              <w:rPr>
                <w:rFonts w:eastAsia="Calibri"/>
                <w:sz w:val="20"/>
                <w:szCs w:val="20"/>
                <w:lang w:val="en-US" w:eastAsia="en-US"/>
              </w:rPr>
              <w:t>HCT</w:t>
            </w:r>
            <w:r>
              <w:rPr>
                <w:rFonts w:eastAsia="Calibri"/>
                <w:sz w:val="20"/>
                <w:szCs w:val="20"/>
                <w:lang w:val="ru-RU" w:eastAsia="en-US"/>
              </w:rPr>
              <w:t xml:space="preserve"> не більше ±2,7 %</w:t>
            </w:r>
          </w:p>
          <w:p>
            <w:pPr>
              <w:pStyle w:val="Normal"/>
              <w:widowControl w:val="false"/>
              <w:rPr>
                <w:sz w:val="20"/>
                <w:szCs w:val="20"/>
              </w:rPr>
            </w:pPr>
            <w:r>
              <w:rPr>
                <w:rFonts w:eastAsia="Calibri"/>
                <w:sz w:val="20"/>
                <w:szCs w:val="20"/>
                <w:lang w:val="en-US" w:eastAsia="en-US"/>
              </w:rPr>
              <w:t>MCV</w:t>
            </w:r>
            <w:r>
              <w:rPr>
                <w:rFonts w:eastAsia="Calibri"/>
                <w:sz w:val="20"/>
                <w:szCs w:val="20"/>
                <w:lang w:val="ru-RU" w:eastAsia="en-US"/>
              </w:rPr>
              <w:t xml:space="preserve"> не більше ±4 </w:t>
            </w:r>
            <w:r>
              <w:rPr>
                <w:rFonts w:eastAsia="Calibri"/>
                <w:sz w:val="20"/>
                <w:szCs w:val="20"/>
                <w:lang w:val="en-US" w:eastAsia="en-US"/>
              </w:rPr>
              <w:t>fl</w:t>
            </w:r>
          </w:p>
          <w:p>
            <w:pPr>
              <w:pStyle w:val="Normal"/>
              <w:widowControl w:val="false"/>
              <w:jc w:val="center"/>
              <w:rPr>
                <w:color w:val="000000"/>
                <w:sz w:val="22"/>
                <w:szCs w:val="22"/>
              </w:rPr>
            </w:pPr>
            <w:r>
              <w:rPr>
                <w:rFonts w:eastAsia="Calibri"/>
                <w:sz w:val="20"/>
                <w:szCs w:val="20"/>
                <w:lang w:val="en-US" w:eastAsia="en-US"/>
              </w:rPr>
              <w:t>RDW</w:t>
            </w:r>
            <w:r>
              <w:rPr>
                <w:rFonts w:eastAsia="Calibri"/>
                <w:sz w:val="20"/>
                <w:szCs w:val="20"/>
                <w:lang w:val="ru-RU" w:eastAsia="en-US"/>
              </w:rPr>
              <w:t xml:space="preserve"> не більше ±3,0 %</w:t>
            </w:r>
          </w:p>
        </w:tc>
        <w:tc>
          <w:tcPr>
            <w:tcW w:w="1060" w:type="dxa"/>
            <w:tcBorders>
              <w:top w:val="single" w:sz="8" w:space="0" w:color="000000"/>
              <w:bottom w:val="single" w:sz="8" w:space="0" w:color="000000"/>
              <w:right w:val="single" w:sz="4" w:space="0" w:color="000000"/>
            </w:tcBorders>
          </w:tcPr>
          <w:p>
            <w:pPr>
              <w:pStyle w:val="Normal"/>
              <w:widowControl w:val="false"/>
              <w:rPr>
                <w:color w:val="000000"/>
                <w:sz w:val="22"/>
                <w:szCs w:val="22"/>
              </w:rPr>
            </w:pPr>
            <w:r>
              <w:rPr>
                <w:rFonts w:eastAsia="Batang"/>
                <w:bCs/>
                <w:iCs/>
                <w:sz w:val="20"/>
                <w:szCs w:val="20"/>
                <w:lang w:eastAsia="en-US"/>
              </w:rPr>
              <w:t>набір</w:t>
            </w:r>
          </w:p>
        </w:tc>
        <w:tc>
          <w:tcPr>
            <w:tcW w:w="956" w:type="dxa"/>
            <w:tcBorders>
              <w:top w:val="single" w:sz="8" w:space="0" w:color="000000"/>
              <w:bottom w:val="single" w:sz="8" w:space="0" w:color="000000"/>
              <w:right w:val="single" w:sz="4" w:space="0" w:color="000000"/>
            </w:tcBorders>
          </w:tcPr>
          <w:p>
            <w:pPr>
              <w:pStyle w:val="Normal"/>
              <w:widowControl w:val="false"/>
              <w:jc w:val="center"/>
              <w:rPr>
                <w:color w:val="000000"/>
                <w:sz w:val="22"/>
                <w:szCs w:val="22"/>
              </w:rPr>
            </w:pPr>
            <w:r>
              <w:rPr>
                <w:rFonts w:eastAsia="Batang"/>
                <w:bCs/>
                <w:iCs/>
                <w:sz w:val="20"/>
                <w:szCs w:val="20"/>
                <w:lang w:eastAsia="en-US"/>
              </w:rPr>
              <w:t>1</w:t>
            </w:r>
          </w:p>
        </w:tc>
      </w:tr>
      <w:tr>
        <w:trPr>
          <w:trHeight w:val="301" w:hRule="atLeast"/>
        </w:trPr>
        <w:tc>
          <w:tcPr>
            <w:tcW w:w="6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rPr>
            </w:pPr>
            <w:r>
              <w:rPr>
                <w:color w:val="000000"/>
                <w:sz w:val="22"/>
                <w:szCs w:val="22"/>
              </w:rPr>
              <w:t>8</w:t>
            </w:r>
          </w:p>
        </w:tc>
        <w:tc>
          <w:tcPr>
            <w:tcW w:w="1800"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sz w:val="20"/>
                <w:szCs w:val="20"/>
                <w:lang w:eastAsia="en-US"/>
              </w:rPr>
            </w:pPr>
            <w:r>
              <w:rPr>
                <w:sz w:val="20"/>
                <w:szCs w:val="20"/>
                <w:lang w:val="ru-RU" w:eastAsia="en-US"/>
              </w:rPr>
              <w:t>ABX</w:t>
            </w:r>
            <w:r>
              <w:rPr>
                <w:sz w:val="20"/>
                <w:szCs w:val="20"/>
                <w:lang w:eastAsia="en-US"/>
              </w:rPr>
              <w:t xml:space="preserve"> </w:t>
            </w:r>
            <w:r>
              <w:rPr>
                <w:sz w:val="20"/>
                <w:szCs w:val="20"/>
                <w:lang w:val="ru-RU" w:eastAsia="en-US"/>
              </w:rPr>
              <w:t>Minidil</w:t>
            </w:r>
            <w:r>
              <w:rPr>
                <w:sz w:val="20"/>
                <w:szCs w:val="20"/>
                <w:lang w:eastAsia="en-US"/>
              </w:rPr>
              <w:t xml:space="preserve"> </w:t>
            </w:r>
            <w:r>
              <w:rPr>
                <w:sz w:val="20"/>
                <w:szCs w:val="20"/>
                <w:lang w:val="ru-RU" w:eastAsia="en-US"/>
              </w:rPr>
              <w:t>LMG</w:t>
            </w:r>
            <w:r>
              <w:rPr>
                <w:sz w:val="20"/>
                <w:szCs w:val="20"/>
                <w:lang w:eastAsia="en-US"/>
              </w:rPr>
              <w:t xml:space="preserve"> 20 л (</w:t>
            </w:r>
            <w:r>
              <w:rPr>
                <w:sz w:val="20"/>
                <w:szCs w:val="20"/>
                <w:lang w:val="ru-RU" w:eastAsia="en-US"/>
              </w:rPr>
              <w:t>L</w:t>
            </w:r>
            <w:r>
              <w:rPr>
                <w:sz w:val="20"/>
                <w:szCs w:val="20"/>
                <w:lang w:eastAsia="en-US"/>
              </w:rPr>
              <w:t>), ізотонічний розчин</w:t>
            </w:r>
          </w:p>
        </w:tc>
        <w:tc>
          <w:tcPr>
            <w:tcW w:w="2547" w:type="dxa"/>
            <w:tcBorders>
              <w:top w:val="single" w:sz="8" w:space="0" w:color="000000"/>
              <w:bottom w:val="single" w:sz="8" w:space="0" w:color="000000"/>
              <w:right w:val="single" w:sz="4" w:space="0" w:color="000000"/>
            </w:tcBorders>
            <w:shd w:color="auto" w:fill="auto" w:val="clear"/>
            <w:vAlign w:val="center"/>
          </w:tcPr>
          <w:p>
            <w:pPr>
              <w:pStyle w:val="Normal"/>
              <w:widowControl w:val="false"/>
              <w:rPr>
                <w:color w:val="000000"/>
                <w:sz w:val="20"/>
                <w:szCs w:val="20"/>
              </w:rPr>
            </w:pPr>
            <w:r>
              <w:rPr>
                <w:rFonts w:eastAsia="Calibri"/>
                <w:color w:val="000000"/>
                <w:sz w:val="20"/>
                <w:szCs w:val="20"/>
                <w:lang w:eastAsia="en-US"/>
              </w:rPr>
              <w:t xml:space="preserve">58237 - Буферний розчинник зразків </w:t>
            </w:r>
            <w:r>
              <w:rPr>
                <w:rFonts w:eastAsia="Calibri"/>
                <w:color w:val="000000"/>
                <w:sz w:val="20"/>
                <w:szCs w:val="20"/>
                <w:lang w:val="ru-RU" w:eastAsia="en-US"/>
              </w:rPr>
              <w:t>IVD</w:t>
            </w:r>
            <w:r>
              <w:rPr>
                <w:rFonts w:eastAsia="Calibri"/>
                <w:color w:val="000000"/>
                <w:sz w:val="20"/>
                <w:szCs w:val="20"/>
                <w:lang w:eastAsia="en-US"/>
              </w:rPr>
              <w:t xml:space="preserve"> (діагностика</w:t>
            </w:r>
          </w:p>
          <w:p>
            <w:pPr>
              <w:pStyle w:val="Normal"/>
              <w:widowControl w:val="false"/>
              <w:rPr>
                <w:color w:val="000000"/>
                <w:sz w:val="20"/>
                <w:szCs w:val="20"/>
              </w:rPr>
            </w:pPr>
            <w:r>
              <w:rPr>
                <w:rFonts w:eastAsia="Calibri"/>
                <w:color w:val="000000"/>
                <w:sz w:val="20"/>
                <w:szCs w:val="20"/>
                <w:lang w:val="ru-RU" w:eastAsia="en-US"/>
              </w:rPr>
              <w:t>in</w:t>
            </w:r>
            <w:r>
              <w:rPr>
                <w:rFonts w:eastAsia="Calibri"/>
                <w:color w:val="000000"/>
                <w:sz w:val="20"/>
                <w:szCs w:val="20"/>
                <w:lang w:eastAsia="en-US"/>
              </w:rPr>
              <w:t xml:space="preserve"> </w:t>
            </w:r>
            <w:r>
              <w:rPr>
                <w:rFonts w:eastAsia="Calibri"/>
                <w:color w:val="000000"/>
                <w:sz w:val="20"/>
                <w:szCs w:val="20"/>
                <w:lang w:val="ru-RU" w:eastAsia="en-US"/>
              </w:rPr>
              <w:t>vitro</w:t>
            </w:r>
            <w:r>
              <w:rPr>
                <w:rFonts w:eastAsia="Calibri"/>
                <w:color w:val="000000"/>
                <w:sz w:val="20"/>
                <w:szCs w:val="20"/>
                <w:lang w:eastAsia="en-US"/>
              </w:rPr>
              <w:t xml:space="preserve"> ), автоматичні/</w:t>
            </w:r>
          </w:p>
          <w:p>
            <w:pPr>
              <w:pStyle w:val="Normal"/>
              <w:widowControl w:val="false"/>
              <w:jc w:val="center"/>
              <w:rPr>
                <w:rFonts w:eastAsia="Calibri"/>
                <w:color w:val="000000"/>
                <w:sz w:val="20"/>
                <w:szCs w:val="20"/>
                <w:lang w:eastAsia="en-US"/>
              </w:rPr>
            </w:pPr>
            <w:r>
              <w:rPr>
                <w:rFonts w:eastAsia="Calibri"/>
                <w:color w:val="000000"/>
                <w:sz w:val="20"/>
                <w:szCs w:val="20"/>
                <w:lang w:eastAsia="en-US"/>
              </w:rPr>
              <w:t>напівавтоматичні системи</w:t>
            </w:r>
          </w:p>
        </w:tc>
        <w:tc>
          <w:tcPr>
            <w:tcW w:w="3545" w:type="dxa"/>
            <w:tcBorders>
              <w:top w:val="single" w:sz="8" w:space="0" w:color="000000"/>
              <w:bottom w:val="single" w:sz="8" w:space="0" w:color="000000"/>
              <w:right w:val="single" w:sz="4" w:space="0" w:color="000000"/>
            </w:tcBorders>
            <w:vAlign w:val="center"/>
          </w:tcPr>
          <w:p>
            <w:pPr>
              <w:pStyle w:val="NoSpacing"/>
              <w:widowControl w:val="false"/>
              <w:rPr>
                <w:rFonts w:ascii="Times New Roman" w:hAnsi="Times New Roman"/>
                <w:color w:val="000000"/>
                <w:sz w:val="20"/>
                <w:szCs w:val="20"/>
              </w:rPr>
            </w:pPr>
            <w:r>
              <w:rPr>
                <w:rFonts w:eastAsia="Calibri" w:ascii="Times New Roman" w:hAnsi="Times New Roman"/>
                <w:color w:val="000000"/>
                <w:sz w:val="20"/>
                <w:szCs w:val="20"/>
              </w:rPr>
              <w:t>До складу реагенту повинні входити наступні інгредієнти:</w:t>
            </w:r>
          </w:p>
          <w:p>
            <w:pPr>
              <w:pStyle w:val="NoSpacing"/>
              <w:widowControl w:val="false"/>
              <w:rPr>
                <w:rFonts w:ascii="Times New Roman" w:hAnsi="Times New Roman"/>
                <w:color w:val="000000"/>
                <w:sz w:val="20"/>
                <w:szCs w:val="20"/>
              </w:rPr>
            </w:pPr>
            <w:r>
              <w:rPr>
                <w:rFonts w:eastAsia="Calibri" w:ascii="Times New Roman" w:hAnsi="Times New Roman"/>
                <w:color w:val="000000"/>
                <w:sz w:val="20"/>
                <w:szCs w:val="20"/>
              </w:rPr>
              <w:t xml:space="preserve">Органічний буфер менше 1000 мл               </w:t>
            </w:r>
          </w:p>
          <w:p>
            <w:pPr>
              <w:pStyle w:val="NoSpacing"/>
              <w:widowControl w:val="false"/>
              <w:rPr>
                <w:rFonts w:ascii="Times New Roman" w:hAnsi="Times New Roman"/>
                <w:color w:val="000000"/>
                <w:sz w:val="20"/>
                <w:szCs w:val="20"/>
              </w:rPr>
            </w:pPr>
            <w:r>
              <w:rPr>
                <w:rFonts w:eastAsia="Calibri" w:ascii="Times New Roman" w:hAnsi="Times New Roman"/>
                <w:color w:val="000000"/>
                <w:sz w:val="20"/>
                <w:szCs w:val="20"/>
              </w:rPr>
              <w:t>Консервант менше 20 мл.</w:t>
            </w:r>
          </w:p>
          <w:p>
            <w:pPr>
              <w:pStyle w:val="NoSpacing"/>
              <w:widowControl w:val="false"/>
              <w:rPr>
                <w:rFonts w:ascii="Times New Roman" w:hAnsi="Times New Roman"/>
                <w:color w:val="000000"/>
                <w:sz w:val="20"/>
                <w:szCs w:val="20"/>
              </w:rPr>
            </w:pPr>
            <w:r>
              <w:rPr>
                <w:rFonts w:eastAsia="Calibri" w:ascii="Times New Roman" w:hAnsi="Times New Roman"/>
                <w:color w:val="000000"/>
                <w:sz w:val="20"/>
                <w:szCs w:val="20"/>
              </w:rPr>
              <w:t>PH розчину повинен бути в діапазоні 6,96 ± 0,1</w:t>
            </w:r>
          </w:p>
          <w:p>
            <w:pPr>
              <w:pStyle w:val="Normal"/>
              <w:widowControl w:val="false"/>
              <w:rPr>
                <w:rFonts w:eastAsia="Calibri"/>
                <w:sz w:val="20"/>
                <w:szCs w:val="20"/>
                <w:lang w:eastAsia="en-US"/>
              </w:rPr>
            </w:pPr>
            <w:r>
              <w:rPr>
                <w:rFonts w:eastAsia="Calibri"/>
                <w:color w:val="000000"/>
                <w:sz w:val="20"/>
                <w:szCs w:val="20"/>
                <w:lang w:val="ru-RU" w:eastAsia="en-US"/>
              </w:rPr>
              <w:t>Адаптовані для аналізатора автоматичного гематологічного серії ABX Micros 60</w:t>
            </w:r>
          </w:p>
        </w:tc>
        <w:tc>
          <w:tcPr>
            <w:tcW w:w="1060" w:type="dxa"/>
            <w:tcBorders>
              <w:top w:val="single" w:sz="8" w:space="0" w:color="000000"/>
              <w:bottom w:val="single" w:sz="8" w:space="0" w:color="000000"/>
              <w:right w:val="single" w:sz="4" w:space="0" w:color="000000"/>
            </w:tcBorders>
          </w:tcPr>
          <w:p>
            <w:pPr>
              <w:pStyle w:val="Normal"/>
              <w:widowControl w:val="false"/>
              <w:rPr>
                <w:rFonts w:eastAsia="Batang"/>
                <w:bCs/>
                <w:iCs/>
                <w:sz w:val="20"/>
                <w:szCs w:val="20"/>
                <w:lang w:eastAsia="en-US"/>
              </w:rPr>
            </w:pPr>
            <w:r>
              <w:rPr>
                <w:rFonts w:eastAsia="Batang"/>
                <w:bCs/>
                <w:iCs/>
                <w:sz w:val="20"/>
                <w:szCs w:val="20"/>
                <w:lang w:eastAsia="en-US"/>
              </w:rPr>
              <w:t>шт</w:t>
            </w:r>
          </w:p>
        </w:tc>
        <w:tc>
          <w:tcPr>
            <w:tcW w:w="956" w:type="dxa"/>
            <w:tcBorders>
              <w:top w:val="single" w:sz="8" w:space="0" w:color="000000"/>
              <w:bottom w:val="single" w:sz="8" w:space="0" w:color="000000"/>
              <w:right w:val="single" w:sz="4" w:space="0" w:color="000000"/>
            </w:tcBorders>
          </w:tcPr>
          <w:p>
            <w:pPr>
              <w:pStyle w:val="Normal"/>
              <w:widowControl w:val="false"/>
              <w:jc w:val="center"/>
              <w:rPr>
                <w:rFonts w:eastAsia="Batang"/>
                <w:bCs/>
                <w:iCs/>
                <w:sz w:val="20"/>
                <w:szCs w:val="20"/>
                <w:lang w:eastAsia="en-US"/>
              </w:rPr>
            </w:pPr>
            <w:r>
              <w:rPr>
                <w:rFonts w:eastAsia="Batang"/>
                <w:bCs/>
                <w:iCs/>
                <w:sz w:val="20"/>
                <w:szCs w:val="20"/>
                <w:lang w:eastAsia="en-US"/>
              </w:rPr>
              <w:t>1</w:t>
            </w:r>
          </w:p>
        </w:tc>
      </w:tr>
      <w:tr>
        <w:trPr>
          <w:trHeight w:val="301" w:hRule="atLeast"/>
        </w:trPr>
        <w:tc>
          <w:tcPr>
            <w:tcW w:w="6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color w:val="000000"/>
                <w:sz w:val="22"/>
                <w:szCs w:val="22"/>
              </w:rPr>
            </w:pPr>
            <w:r>
              <w:rPr>
                <w:color w:val="000000"/>
                <w:sz w:val="22"/>
                <w:szCs w:val="22"/>
              </w:rPr>
              <w:t>9</w:t>
            </w:r>
          </w:p>
        </w:tc>
        <w:tc>
          <w:tcPr>
            <w:tcW w:w="1800" w:type="dxa"/>
            <w:tcBorders>
              <w:top w:val="single" w:sz="8" w:space="0" w:color="000000"/>
              <w:bottom w:val="single" w:sz="8" w:space="0" w:color="000000"/>
              <w:right w:val="single" w:sz="8" w:space="0" w:color="000000"/>
            </w:tcBorders>
            <w:shd w:color="auto" w:fill="auto" w:val="clear"/>
            <w:vAlign w:val="center"/>
          </w:tcPr>
          <w:p>
            <w:pPr>
              <w:pStyle w:val="Normal"/>
              <w:widowControl w:val="false"/>
              <w:jc w:val="center"/>
              <w:rPr>
                <w:sz w:val="20"/>
                <w:szCs w:val="20"/>
                <w:lang w:eastAsia="en-US"/>
              </w:rPr>
            </w:pPr>
            <w:r>
              <w:rPr>
                <w:sz w:val="20"/>
                <w:szCs w:val="20"/>
                <w:lang w:val="ru-RU" w:eastAsia="en-US"/>
              </w:rPr>
              <w:t>ABX</w:t>
            </w:r>
            <w:r>
              <w:rPr>
                <w:sz w:val="20"/>
                <w:szCs w:val="20"/>
                <w:lang w:eastAsia="en-US"/>
              </w:rPr>
              <w:t xml:space="preserve"> </w:t>
            </w:r>
            <w:r>
              <w:rPr>
                <w:sz w:val="20"/>
                <w:szCs w:val="20"/>
                <w:lang w:val="ru-RU" w:eastAsia="en-US"/>
              </w:rPr>
              <w:t>Minilyse</w:t>
            </w:r>
            <w:r>
              <w:rPr>
                <w:sz w:val="20"/>
                <w:szCs w:val="20"/>
                <w:lang w:eastAsia="en-US"/>
              </w:rPr>
              <w:t xml:space="preserve"> </w:t>
            </w:r>
            <w:r>
              <w:rPr>
                <w:sz w:val="20"/>
                <w:szCs w:val="20"/>
                <w:lang w:val="ru-RU" w:eastAsia="en-US"/>
              </w:rPr>
              <w:t>LMG</w:t>
            </w:r>
            <w:r>
              <w:rPr>
                <w:sz w:val="20"/>
                <w:szCs w:val="20"/>
                <w:lang w:eastAsia="en-US"/>
              </w:rPr>
              <w:t xml:space="preserve"> 1 л (</w:t>
            </w:r>
            <w:r>
              <w:rPr>
                <w:sz w:val="20"/>
                <w:szCs w:val="20"/>
                <w:lang w:val="ru-RU" w:eastAsia="en-US"/>
              </w:rPr>
              <w:t>L</w:t>
            </w:r>
            <w:r>
              <w:rPr>
                <w:sz w:val="20"/>
                <w:szCs w:val="20"/>
                <w:lang w:eastAsia="en-US"/>
              </w:rPr>
              <w:t>), лізуючий розчин</w:t>
            </w:r>
          </w:p>
        </w:tc>
        <w:tc>
          <w:tcPr>
            <w:tcW w:w="2547" w:type="dxa"/>
            <w:tcBorders>
              <w:top w:val="single" w:sz="8" w:space="0" w:color="000000"/>
              <w:bottom w:val="single" w:sz="8" w:space="0" w:color="000000"/>
              <w:right w:val="single" w:sz="4" w:space="0" w:color="000000"/>
            </w:tcBorders>
            <w:shd w:color="auto" w:fill="auto" w:val="clear"/>
            <w:vAlign w:val="center"/>
          </w:tcPr>
          <w:p>
            <w:pPr>
              <w:pStyle w:val="Normal"/>
              <w:widowControl w:val="false"/>
              <w:jc w:val="center"/>
              <w:rPr>
                <w:rFonts w:eastAsia="Calibri"/>
                <w:color w:val="000000"/>
                <w:sz w:val="20"/>
                <w:szCs w:val="20"/>
                <w:lang w:eastAsia="en-US"/>
              </w:rPr>
            </w:pPr>
            <w:r>
              <w:rPr>
                <w:rFonts w:eastAsia="Calibri"/>
                <w:color w:val="000000"/>
                <w:sz w:val="20"/>
                <w:szCs w:val="20"/>
                <w:lang w:eastAsia="en-US"/>
              </w:rPr>
              <w:t xml:space="preserve">61165 - Реагент для лізису клітин крові </w:t>
            </w:r>
            <w:r>
              <w:rPr>
                <w:rFonts w:eastAsia="Calibri"/>
                <w:color w:val="000000"/>
                <w:sz w:val="20"/>
                <w:szCs w:val="20"/>
                <w:lang w:val="ru-RU" w:eastAsia="en-US"/>
              </w:rPr>
              <w:t>IVD</w:t>
            </w:r>
            <w:r>
              <w:rPr>
                <w:rFonts w:eastAsia="Calibri"/>
                <w:color w:val="000000"/>
                <w:sz w:val="20"/>
                <w:szCs w:val="20"/>
                <w:lang w:eastAsia="en-US"/>
              </w:rPr>
              <w:t xml:space="preserve"> (діагностика </w:t>
            </w:r>
            <w:r>
              <w:rPr>
                <w:rFonts w:eastAsia="Calibri"/>
                <w:color w:val="000000"/>
                <w:sz w:val="20"/>
                <w:szCs w:val="20"/>
                <w:lang w:val="ru-RU" w:eastAsia="en-US"/>
              </w:rPr>
              <w:t>in</w:t>
            </w:r>
            <w:r>
              <w:rPr>
                <w:rFonts w:eastAsia="Calibri"/>
                <w:color w:val="000000"/>
                <w:sz w:val="20"/>
                <w:szCs w:val="20"/>
                <w:lang w:eastAsia="en-US"/>
              </w:rPr>
              <w:t xml:space="preserve"> </w:t>
            </w:r>
            <w:r>
              <w:rPr>
                <w:rFonts w:eastAsia="Calibri"/>
                <w:color w:val="000000"/>
                <w:sz w:val="20"/>
                <w:szCs w:val="20"/>
                <w:lang w:val="ru-RU" w:eastAsia="en-US"/>
              </w:rPr>
              <w:t>vitro</w:t>
            </w:r>
            <w:r>
              <w:rPr>
                <w:rFonts w:eastAsia="Calibri"/>
                <w:color w:val="000000"/>
                <w:sz w:val="20"/>
                <w:szCs w:val="20"/>
                <w:lang w:eastAsia="en-US"/>
              </w:rPr>
              <w:t xml:space="preserve"> )</w:t>
            </w:r>
          </w:p>
        </w:tc>
        <w:tc>
          <w:tcPr>
            <w:tcW w:w="3545" w:type="dxa"/>
            <w:tcBorders>
              <w:top w:val="single" w:sz="8" w:space="0" w:color="000000"/>
              <w:bottom w:val="single" w:sz="8" w:space="0" w:color="000000"/>
              <w:right w:val="single" w:sz="4" w:space="0" w:color="000000"/>
            </w:tcBorders>
            <w:vAlign w:val="center"/>
          </w:tcPr>
          <w:p>
            <w:pPr>
              <w:pStyle w:val="NoSpacing"/>
              <w:widowControl w:val="false"/>
              <w:rPr>
                <w:rFonts w:ascii="Times New Roman" w:hAnsi="Times New Roman"/>
                <w:color w:val="000000"/>
                <w:sz w:val="20"/>
                <w:szCs w:val="20"/>
              </w:rPr>
            </w:pPr>
            <w:r>
              <w:rPr>
                <w:rFonts w:eastAsia="Calibri" w:ascii="Times New Roman" w:hAnsi="Times New Roman"/>
                <w:color w:val="000000"/>
                <w:sz w:val="20"/>
                <w:szCs w:val="20"/>
              </w:rPr>
              <w:t>До складу реагенту повинні входити наступні інгредієнти:</w:t>
            </w:r>
          </w:p>
          <w:p>
            <w:pPr>
              <w:pStyle w:val="NoSpacing"/>
              <w:widowControl w:val="false"/>
              <w:rPr>
                <w:rFonts w:ascii="Times New Roman" w:hAnsi="Times New Roman"/>
                <w:sz w:val="20"/>
                <w:szCs w:val="20"/>
              </w:rPr>
            </w:pPr>
            <w:r>
              <w:rPr>
                <w:rFonts w:eastAsia="Calibri" w:ascii="Times New Roman" w:hAnsi="Times New Roman"/>
                <w:sz w:val="20"/>
                <w:szCs w:val="20"/>
              </w:rPr>
              <w:t xml:space="preserve">Лізуюча речовина </w:t>
            </w:r>
            <w:r>
              <w:rPr>
                <w:rFonts w:eastAsia="Calibri" w:ascii="Times New Roman" w:hAnsi="Times New Roman"/>
                <w:color w:val="000000"/>
                <w:sz w:val="20"/>
                <w:szCs w:val="20"/>
              </w:rPr>
              <w:t>менше 1 мл</w:t>
            </w:r>
            <w:r>
              <w:rPr>
                <w:rFonts w:eastAsia="Calibri" w:ascii="Times New Roman" w:hAnsi="Times New Roman"/>
                <w:sz w:val="20"/>
                <w:szCs w:val="20"/>
              </w:rPr>
              <w:t xml:space="preserve">                              </w:t>
            </w:r>
          </w:p>
          <w:p>
            <w:pPr>
              <w:pStyle w:val="NoSpacing"/>
              <w:widowControl w:val="false"/>
              <w:rPr>
                <w:rFonts w:ascii="Times New Roman" w:hAnsi="Times New Roman"/>
                <w:color w:val="000000"/>
                <w:sz w:val="20"/>
                <w:szCs w:val="20"/>
              </w:rPr>
            </w:pPr>
            <w:r>
              <w:rPr>
                <w:rFonts w:eastAsia="Calibri" w:ascii="Times New Roman" w:hAnsi="Times New Roman"/>
                <w:sz w:val="20"/>
                <w:szCs w:val="20"/>
              </w:rPr>
              <w:t xml:space="preserve">Детергент </w:t>
            </w:r>
            <w:r>
              <w:rPr>
                <w:rFonts w:eastAsia="Calibri" w:ascii="Times New Roman" w:hAnsi="Times New Roman"/>
                <w:color w:val="000000"/>
                <w:sz w:val="20"/>
                <w:szCs w:val="20"/>
              </w:rPr>
              <w:t>менше 50 мл.</w:t>
            </w:r>
          </w:p>
          <w:p>
            <w:pPr>
              <w:pStyle w:val="NoSpacing"/>
              <w:widowControl w:val="false"/>
              <w:rPr>
                <w:rFonts w:ascii="Times New Roman" w:hAnsi="Times New Roman"/>
                <w:color w:val="000000"/>
                <w:sz w:val="20"/>
                <w:szCs w:val="20"/>
                <w:lang w:val="ru-RU"/>
              </w:rPr>
            </w:pPr>
            <w:r>
              <w:rPr>
                <w:rFonts w:eastAsia="Calibri" w:ascii="Times New Roman" w:hAnsi="Times New Roman"/>
                <w:color w:val="000000"/>
                <w:sz w:val="20"/>
                <w:szCs w:val="20"/>
              </w:rPr>
              <w:t>PH розчину повинен бути в діапазоні 10,00 ± 0,</w:t>
            </w:r>
            <w:r>
              <w:rPr>
                <w:rFonts w:eastAsia="Calibri" w:ascii="Times New Roman" w:hAnsi="Times New Roman"/>
                <w:color w:val="000000"/>
                <w:sz w:val="20"/>
                <w:szCs w:val="20"/>
                <w:lang w:val="ru-RU"/>
              </w:rPr>
              <w:t>5</w:t>
            </w:r>
          </w:p>
          <w:p>
            <w:pPr>
              <w:pStyle w:val="Normal"/>
              <w:widowControl w:val="false"/>
              <w:rPr>
                <w:rFonts w:eastAsia="Calibri"/>
                <w:sz w:val="20"/>
                <w:szCs w:val="20"/>
                <w:lang w:eastAsia="en-US"/>
              </w:rPr>
            </w:pPr>
            <w:r>
              <w:rPr>
                <w:rFonts w:eastAsia="Calibri"/>
                <w:sz w:val="20"/>
                <w:szCs w:val="20"/>
                <w:lang w:val="ru-RU" w:eastAsia="en-US"/>
              </w:rPr>
              <w:t>Адаптовані для аналізатора автоматичного гематологічного серії ABX Micros 60</w:t>
            </w:r>
          </w:p>
        </w:tc>
        <w:tc>
          <w:tcPr>
            <w:tcW w:w="1060" w:type="dxa"/>
            <w:tcBorders>
              <w:top w:val="single" w:sz="8" w:space="0" w:color="000000"/>
              <w:bottom w:val="single" w:sz="8" w:space="0" w:color="000000"/>
              <w:right w:val="single" w:sz="4" w:space="0" w:color="000000"/>
            </w:tcBorders>
          </w:tcPr>
          <w:p>
            <w:pPr>
              <w:pStyle w:val="Normal"/>
              <w:widowControl w:val="false"/>
              <w:rPr>
                <w:rFonts w:eastAsia="Batang"/>
                <w:bCs/>
                <w:iCs/>
                <w:sz w:val="20"/>
                <w:szCs w:val="20"/>
                <w:lang w:eastAsia="en-US"/>
              </w:rPr>
            </w:pPr>
            <w:r>
              <w:rPr>
                <w:rFonts w:eastAsia="Batang"/>
                <w:bCs/>
                <w:iCs/>
                <w:sz w:val="20"/>
                <w:szCs w:val="20"/>
                <w:lang w:eastAsia="en-US"/>
              </w:rPr>
              <w:t>шт</w:t>
            </w:r>
          </w:p>
        </w:tc>
        <w:tc>
          <w:tcPr>
            <w:tcW w:w="956" w:type="dxa"/>
            <w:tcBorders>
              <w:top w:val="single" w:sz="8" w:space="0" w:color="000000"/>
              <w:bottom w:val="single" w:sz="8" w:space="0" w:color="000000"/>
              <w:right w:val="single" w:sz="4" w:space="0" w:color="000000"/>
            </w:tcBorders>
          </w:tcPr>
          <w:p>
            <w:pPr>
              <w:pStyle w:val="Normal"/>
              <w:widowControl w:val="false"/>
              <w:jc w:val="center"/>
              <w:rPr>
                <w:rFonts w:eastAsia="Batang"/>
                <w:bCs/>
                <w:iCs/>
                <w:sz w:val="20"/>
                <w:szCs w:val="20"/>
                <w:lang w:eastAsia="en-US"/>
              </w:rPr>
            </w:pPr>
            <w:r>
              <w:rPr>
                <w:rFonts w:eastAsia="Batang"/>
                <w:bCs/>
                <w:iCs/>
                <w:sz w:val="20"/>
                <w:szCs w:val="20"/>
                <w:lang w:eastAsia="en-US"/>
              </w:rPr>
              <w:t>2,00</w:t>
            </w:r>
          </w:p>
        </w:tc>
      </w:tr>
      <w:tr>
        <w:trPr>
          <w:trHeight w:val="301" w:hRule="atLeast"/>
        </w:trPr>
        <w:tc>
          <w:tcPr>
            <w:tcW w:w="638" w:type="dxa"/>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color w:val="000000"/>
                <w:sz w:val="22"/>
                <w:szCs w:val="22"/>
              </w:rPr>
            </w:pPr>
            <w:r>
              <w:rPr>
                <w:color w:val="000000"/>
                <w:sz w:val="22"/>
                <w:szCs w:val="22"/>
              </w:rPr>
              <w:t>10</w:t>
            </w:r>
          </w:p>
        </w:tc>
        <w:tc>
          <w:tcPr>
            <w:tcW w:w="1800" w:type="dxa"/>
            <w:tcBorders>
              <w:top w:val="single" w:sz="8" w:space="0" w:color="000000"/>
              <w:bottom w:val="single" w:sz="4" w:space="0" w:color="000000"/>
              <w:right w:val="single" w:sz="8" w:space="0" w:color="000000"/>
            </w:tcBorders>
            <w:shd w:color="auto" w:fill="auto" w:val="clear"/>
            <w:vAlign w:val="center"/>
          </w:tcPr>
          <w:p>
            <w:pPr>
              <w:pStyle w:val="Normal"/>
              <w:widowControl w:val="false"/>
              <w:jc w:val="center"/>
              <w:rPr>
                <w:sz w:val="20"/>
                <w:szCs w:val="20"/>
                <w:lang w:val="ru-RU" w:eastAsia="en-US"/>
              </w:rPr>
            </w:pPr>
            <w:r>
              <w:rPr>
                <w:sz w:val="20"/>
                <w:szCs w:val="20"/>
                <w:lang w:val="ru-RU" w:eastAsia="en-US"/>
              </w:rPr>
              <w:t>ABX Minoclair 0,5 л (L), розчин для промивки</w:t>
            </w:r>
          </w:p>
        </w:tc>
        <w:tc>
          <w:tcPr>
            <w:tcW w:w="2547" w:type="dxa"/>
            <w:tcBorders>
              <w:top w:val="single" w:sz="8" w:space="0" w:color="000000"/>
              <w:bottom w:val="single" w:sz="4" w:space="0" w:color="000000"/>
              <w:right w:val="single" w:sz="4" w:space="0" w:color="000000"/>
            </w:tcBorders>
            <w:shd w:color="auto" w:fill="auto" w:val="clear"/>
            <w:vAlign w:val="center"/>
          </w:tcPr>
          <w:p>
            <w:pPr>
              <w:pStyle w:val="Normal"/>
              <w:widowControl w:val="false"/>
              <w:rPr>
                <w:color w:val="000000"/>
                <w:sz w:val="20"/>
                <w:szCs w:val="20"/>
              </w:rPr>
            </w:pPr>
            <w:r>
              <w:rPr>
                <w:rFonts w:eastAsia="Calibri"/>
                <w:color w:val="000000"/>
                <w:sz w:val="20"/>
                <w:szCs w:val="20"/>
                <w:lang w:val="ru-RU" w:eastAsia="en-US"/>
              </w:rPr>
              <w:t>59058 – Мийний / очищувальний розчин IVD (діагностика in vitro ) для</w:t>
            </w:r>
          </w:p>
          <w:p>
            <w:pPr>
              <w:pStyle w:val="Normal"/>
              <w:widowControl w:val="false"/>
              <w:rPr>
                <w:color w:val="000000"/>
                <w:sz w:val="20"/>
                <w:szCs w:val="20"/>
              </w:rPr>
            </w:pPr>
            <w:r>
              <w:rPr>
                <w:rFonts w:eastAsia="Calibri"/>
                <w:color w:val="000000"/>
                <w:sz w:val="20"/>
                <w:szCs w:val="20"/>
                <w:lang w:val="ru-RU" w:eastAsia="en-US"/>
              </w:rPr>
              <w:t>автоматизованих/</w:t>
            </w:r>
          </w:p>
          <w:p>
            <w:pPr>
              <w:pStyle w:val="Normal"/>
              <w:widowControl w:val="false"/>
              <w:rPr>
                <w:color w:val="000000"/>
                <w:sz w:val="20"/>
                <w:szCs w:val="20"/>
              </w:rPr>
            </w:pPr>
            <w:r>
              <w:rPr>
                <w:rFonts w:eastAsia="Calibri"/>
                <w:color w:val="000000"/>
                <w:sz w:val="20"/>
                <w:szCs w:val="20"/>
                <w:lang w:val="ru-RU" w:eastAsia="en-US"/>
              </w:rPr>
              <w:t>напівавтоматизованих</w:t>
            </w:r>
          </w:p>
          <w:p>
            <w:pPr>
              <w:pStyle w:val="Normal"/>
              <w:widowControl w:val="false"/>
              <w:jc w:val="center"/>
              <w:rPr>
                <w:rFonts w:eastAsia="Calibri"/>
                <w:color w:val="000000"/>
                <w:sz w:val="20"/>
                <w:szCs w:val="20"/>
                <w:lang w:eastAsia="en-US"/>
              </w:rPr>
            </w:pPr>
            <w:r>
              <w:rPr>
                <w:rFonts w:eastAsia="Calibri"/>
                <w:color w:val="000000"/>
                <w:sz w:val="20"/>
                <w:szCs w:val="20"/>
                <w:lang w:val="ru-RU" w:eastAsia="en-US"/>
              </w:rPr>
              <w:t>систем</w:t>
            </w:r>
          </w:p>
        </w:tc>
        <w:tc>
          <w:tcPr>
            <w:tcW w:w="3545" w:type="dxa"/>
            <w:tcBorders>
              <w:top w:val="single" w:sz="8" w:space="0" w:color="000000"/>
              <w:bottom w:val="single" w:sz="8" w:space="0" w:color="000000"/>
              <w:right w:val="single" w:sz="4" w:space="0" w:color="000000"/>
            </w:tcBorders>
            <w:vAlign w:val="center"/>
          </w:tcPr>
          <w:p>
            <w:pPr>
              <w:pStyle w:val="NoSpacing"/>
              <w:widowControl w:val="false"/>
              <w:rPr>
                <w:rFonts w:ascii="Times New Roman" w:hAnsi="Times New Roman"/>
                <w:color w:val="000000"/>
                <w:sz w:val="20"/>
                <w:szCs w:val="20"/>
              </w:rPr>
            </w:pPr>
            <w:r>
              <w:rPr>
                <w:rFonts w:eastAsia="Calibri" w:ascii="Times New Roman" w:hAnsi="Times New Roman"/>
                <w:color w:val="000000"/>
                <w:sz w:val="20"/>
                <w:szCs w:val="20"/>
              </w:rPr>
              <w:t>До складу реагенту повинні входити наступні інгредієнти:</w:t>
            </w:r>
          </w:p>
          <w:p>
            <w:pPr>
              <w:pStyle w:val="NoSpacing"/>
              <w:widowControl w:val="false"/>
              <w:rPr>
                <w:rFonts w:ascii="Times New Roman" w:hAnsi="Times New Roman"/>
                <w:sz w:val="20"/>
                <w:szCs w:val="20"/>
              </w:rPr>
            </w:pPr>
            <w:r>
              <w:rPr>
                <w:rFonts w:eastAsia="Calibri" w:ascii="Times New Roman" w:hAnsi="Times New Roman"/>
                <w:sz w:val="20"/>
                <w:szCs w:val="20"/>
              </w:rPr>
              <w:t xml:space="preserve">Агент хімічної очистки </w:t>
            </w:r>
            <w:r>
              <w:rPr>
                <w:rFonts w:eastAsia="Calibri" w:ascii="Times New Roman" w:hAnsi="Times New Roman"/>
                <w:color w:val="000000"/>
                <w:sz w:val="20"/>
                <w:szCs w:val="20"/>
              </w:rPr>
              <w:t>менше 25 мл</w:t>
            </w:r>
            <w:r>
              <w:rPr>
                <w:rFonts w:eastAsia="Calibri" w:ascii="Times New Roman" w:hAnsi="Times New Roman"/>
                <w:sz w:val="20"/>
                <w:szCs w:val="20"/>
              </w:rPr>
              <w:t xml:space="preserve">                      </w:t>
            </w:r>
          </w:p>
          <w:p>
            <w:pPr>
              <w:pStyle w:val="NoSpacing"/>
              <w:widowControl w:val="false"/>
              <w:rPr>
                <w:rFonts w:ascii="Times New Roman" w:hAnsi="Times New Roman"/>
                <w:color w:val="000000"/>
                <w:sz w:val="20"/>
                <w:szCs w:val="20"/>
              </w:rPr>
            </w:pPr>
            <w:r>
              <w:rPr>
                <w:rFonts w:eastAsia="Calibri" w:ascii="Times New Roman" w:hAnsi="Times New Roman"/>
                <w:sz w:val="20"/>
                <w:szCs w:val="20"/>
              </w:rPr>
              <w:t xml:space="preserve">Стабілізатор  </w:t>
            </w:r>
            <w:r>
              <w:rPr>
                <w:rFonts w:eastAsia="Calibri" w:ascii="Times New Roman" w:hAnsi="Times New Roman"/>
                <w:color w:val="000000"/>
                <w:sz w:val="20"/>
                <w:szCs w:val="20"/>
              </w:rPr>
              <w:t>менше 5 мл.</w:t>
            </w:r>
          </w:p>
          <w:p>
            <w:pPr>
              <w:pStyle w:val="NoSpacing"/>
              <w:widowControl w:val="false"/>
              <w:rPr>
                <w:rFonts w:ascii="Times New Roman" w:hAnsi="Times New Roman"/>
                <w:color w:val="000000"/>
                <w:sz w:val="20"/>
                <w:szCs w:val="20"/>
              </w:rPr>
            </w:pPr>
            <w:r>
              <w:rPr>
                <w:rFonts w:eastAsia="Calibri" w:ascii="Times New Roman" w:hAnsi="Times New Roman"/>
                <w:color w:val="000000"/>
                <w:sz w:val="20"/>
                <w:szCs w:val="20"/>
              </w:rPr>
              <w:t>PH розчину повинен бути в діапазоні 12,50 ± 0,5</w:t>
            </w:r>
          </w:p>
          <w:p>
            <w:pPr>
              <w:pStyle w:val="NoSpacing"/>
              <w:widowControl w:val="false"/>
              <w:rPr>
                <w:rFonts w:ascii="Times New Roman" w:hAnsi="Times New Roman" w:eastAsia="Calibri"/>
                <w:color w:val="000000"/>
                <w:sz w:val="20"/>
                <w:szCs w:val="20"/>
              </w:rPr>
            </w:pPr>
            <w:r>
              <w:rPr>
                <w:rFonts w:eastAsia="Calibri" w:ascii="Times New Roman" w:hAnsi="Times New Roman"/>
                <w:sz w:val="20"/>
                <w:szCs w:val="20"/>
                <w:lang w:val="ru-RU"/>
              </w:rPr>
              <w:t>Адаптовані для аналізатора автоматичного гематологічного серії ABX Micros 60</w:t>
            </w:r>
          </w:p>
        </w:tc>
        <w:tc>
          <w:tcPr>
            <w:tcW w:w="1060" w:type="dxa"/>
            <w:tcBorders>
              <w:top w:val="single" w:sz="8" w:space="0" w:color="000000"/>
              <w:bottom w:val="single" w:sz="8" w:space="0" w:color="000000"/>
              <w:right w:val="single" w:sz="4" w:space="0" w:color="000000"/>
            </w:tcBorders>
          </w:tcPr>
          <w:p>
            <w:pPr>
              <w:pStyle w:val="Normal"/>
              <w:widowControl w:val="false"/>
              <w:rPr>
                <w:rFonts w:eastAsia="Batang"/>
                <w:bCs/>
                <w:iCs/>
                <w:sz w:val="20"/>
                <w:szCs w:val="20"/>
                <w:lang w:eastAsia="en-US"/>
              </w:rPr>
            </w:pPr>
            <w:r>
              <w:rPr>
                <w:rFonts w:eastAsia="Batang"/>
                <w:bCs/>
                <w:iCs/>
                <w:sz w:val="20"/>
                <w:szCs w:val="20"/>
                <w:lang w:eastAsia="en-US"/>
              </w:rPr>
              <w:t>шт</w:t>
            </w:r>
          </w:p>
        </w:tc>
        <w:tc>
          <w:tcPr>
            <w:tcW w:w="956" w:type="dxa"/>
            <w:tcBorders>
              <w:top w:val="single" w:sz="8" w:space="0" w:color="000000"/>
              <w:bottom w:val="single" w:sz="8" w:space="0" w:color="000000"/>
              <w:right w:val="single" w:sz="4" w:space="0" w:color="000000"/>
            </w:tcBorders>
          </w:tcPr>
          <w:p>
            <w:pPr>
              <w:pStyle w:val="Normal"/>
              <w:widowControl w:val="false"/>
              <w:jc w:val="center"/>
              <w:rPr>
                <w:rFonts w:eastAsia="Batang"/>
                <w:bCs/>
                <w:iCs/>
                <w:sz w:val="20"/>
                <w:szCs w:val="20"/>
                <w:lang w:eastAsia="en-US"/>
              </w:rPr>
            </w:pPr>
            <w:r>
              <w:rPr>
                <w:rFonts w:eastAsia="Batang"/>
                <w:bCs/>
                <w:iCs/>
                <w:sz w:val="20"/>
                <w:szCs w:val="20"/>
                <w:lang w:eastAsia="en-US"/>
              </w:rPr>
              <w:t>1</w:t>
            </w:r>
          </w:p>
        </w:tc>
      </w:tr>
    </w:tbl>
    <w:p>
      <w:pPr>
        <w:pStyle w:val="Normal"/>
        <w:jc w:val="both"/>
        <w:rPr/>
      </w:pPr>
      <w:r>
        <w:rPr/>
      </w:r>
    </w:p>
    <w:p>
      <w:pPr>
        <w:pStyle w:val="Normal"/>
        <w:jc w:val="both"/>
        <w:rPr/>
      </w:pPr>
      <w:r>
        <w:rPr/>
      </w:r>
    </w:p>
    <w:p>
      <w:pPr>
        <w:pStyle w:val="Normal"/>
        <w:jc w:val="both"/>
        <w:rPr/>
      </w:pPr>
      <w:r>
        <w:rPr/>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p>
      <w:pPr>
        <w:pStyle w:val="Normal"/>
        <w:shd w:val="clear" w:color="auto" w:fill="FFFFFF"/>
        <w:rPr>
          <w:b/>
          <w:b/>
        </w:rPr>
      </w:pPr>
      <w:r>
        <w:rPr/>
        <w:t>Загальні вимоги до предмету закупівлі:</w:t>
      </w:r>
    </w:p>
    <w:p>
      <w:pPr>
        <w:pStyle w:val="Normal"/>
        <w:ind w:left="568" w:hanging="0"/>
        <w:jc w:val="center"/>
        <w:rPr>
          <w:b/>
          <w:b/>
          <w:bCs/>
        </w:rPr>
      </w:pPr>
      <w:r>
        <w:rPr>
          <w:b/>
          <w:bCs/>
        </w:rPr>
        <w:t>ЗАГАЛЬНІ ВИМОГИ:</w:t>
      </w:r>
    </w:p>
    <w:p>
      <w:pPr>
        <w:pStyle w:val="ListParagraph"/>
        <w:numPr>
          <w:ilvl w:val="0"/>
          <w:numId w:val="13"/>
        </w:numPr>
        <w:jc w:val="both"/>
        <w:rPr>
          <w:rFonts w:ascii="Times New Roman" w:hAnsi="Times New Roman" w:cs="Times New Roman"/>
        </w:rPr>
      </w:pPr>
      <w:r>
        <w:rPr>
          <w:rFonts w:cs="Times New Roman" w:ascii="Times New Roman" w:hAnsi="Times New Roman"/>
        </w:rPr>
        <w:t xml:space="preserve">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pPr>
        <w:pStyle w:val="ListParagraph"/>
        <w:ind w:left="928" w:hanging="0"/>
        <w:jc w:val="both"/>
        <w:rPr>
          <w:rFonts w:ascii="Times New Roman" w:hAnsi="Times New Roman" w:cs="Times New Roman"/>
        </w:rPr>
      </w:pPr>
      <w:r>
        <w:rPr>
          <w:rFonts w:cs="Times New Roman" w:ascii="Times New Roman" w:hAnsi="Times New Roman"/>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Обов’язково виділити кольором , запропонований товар у документах відповідно  до пункту 1 загальних вимог.            </w:t>
      </w:r>
    </w:p>
    <w:p>
      <w:pPr>
        <w:pStyle w:val="ListParagraph"/>
        <w:numPr>
          <w:ilvl w:val="0"/>
          <w:numId w:val="13"/>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w:t>
      </w:r>
      <w:r>
        <w:rPr>
          <w:rFonts w:cs="Times New Roman" w:ascii="Times New Roman" w:hAnsi="Times New Roman"/>
          <w:lang w:val="ru-RU"/>
        </w:rPr>
        <w:t>.</w:t>
      </w:r>
    </w:p>
    <w:p>
      <w:pPr>
        <w:pStyle w:val="ListParagraph"/>
        <w:numPr>
          <w:ilvl w:val="0"/>
          <w:numId w:val="13"/>
        </w:numPr>
        <w:jc w:val="both"/>
        <w:rPr>
          <w:rFonts w:ascii="Times New Roman" w:hAnsi="Times New Roman" w:cs="Times New Roman"/>
        </w:rPr>
      </w:pPr>
      <w:r>
        <w:rPr>
          <w:rFonts w:cs="Times New Roman" w:ascii="Times New Roman" w:hAnsi="Times New Roman"/>
        </w:rPr>
        <w:t>Залишковий термін придатності товару на момент постачання  повинен</w:t>
      </w:r>
    </w:p>
    <w:p>
      <w:pPr>
        <w:pStyle w:val="ListParagraph"/>
        <w:ind w:left="928" w:hanging="0"/>
        <w:jc w:val="both"/>
        <w:rPr>
          <w:rFonts w:ascii="Times New Roman" w:hAnsi="Times New Roman" w:cs="Times New Roman"/>
        </w:rPr>
      </w:pPr>
      <w:r>
        <w:rPr>
          <w:rFonts w:cs="Times New Roman" w:ascii="Times New Roman" w:hAnsi="Times New Roman"/>
        </w:rPr>
        <w:t xml:space="preserve">складати не менше ніж 70% загального терміну їх зберігання (надати гарантійний лист від імені Учасника);                                                                                                                                                </w:t>
      </w:r>
    </w:p>
    <w:p>
      <w:pPr>
        <w:pStyle w:val="ListParagraph"/>
        <w:numPr>
          <w:ilvl w:val="0"/>
          <w:numId w:val="13"/>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Постачання  здійснюється транспортом та за рахунок Учасника (надати гарантійний лист від імені Учасника).</w:t>
      </w:r>
    </w:p>
    <w:p>
      <w:pPr>
        <w:pStyle w:val="ListParagraph"/>
        <w:numPr>
          <w:ilvl w:val="0"/>
          <w:numId w:val="13"/>
        </w:numPr>
        <w:spacing w:lineRule="auto" w:line="240" w:before="0" w:after="0"/>
        <w:contextualSpacing/>
        <w:jc w:val="both"/>
        <w:rPr>
          <w:rFonts w:ascii="Times New Roman" w:hAnsi="Times New Roman" w:cs="Times New Roman"/>
          <w:b/>
          <w:b/>
          <w:bCs/>
          <w:color w:val="000000" w:themeColor="text1"/>
        </w:rPr>
      </w:pPr>
      <w:r>
        <w:rPr>
          <w:rFonts w:cs="Times New Roman" w:ascii="Times New Roman" w:hAnsi="Times New Roman"/>
          <w:b/>
          <w:bCs/>
          <w:color w:val="000000" w:themeColor="text1"/>
        </w:rPr>
        <w:t>Пакування: пакування повинно відповідати технічним характеристикам наведеним у Таблиці даного Додатку.</w:t>
      </w:r>
    </w:p>
    <w:p>
      <w:pPr>
        <w:pStyle w:val="ListParagraph"/>
        <w:numPr>
          <w:ilvl w:val="0"/>
          <w:numId w:val="13"/>
        </w:numPr>
        <w:jc w:val="both"/>
        <w:rPr>
          <w:rStyle w:val="Strong"/>
          <w:b w:val="false"/>
          <w:b w:val="false"/>
          <w:color w:val="000000"/>
        </w:rPr>
      </w:pPr>
      <w:r>
        <w:rPr>
          <w:rStyle w:val="Strong"/>
          <w:color w:val="000000"/>
        </w:rPr>
        <w:t>Термін поставки</w:t>
      </w:r>
      <w:r>
        <w:rPr>
          <w:rFonts w:cs="Times New Roman" w:ascii="Times New Roman" w:hAnsi="Times New Roman"/>
          <w:color w:val="000000"/>
        </w:rPr>
        <w:t>: протягом 7 (семи) календарних днів з дати отримання заявки від Замовника у кількості, вказаній у заявці</w:t>
      </w:r>
      <w:r>
        <w:rPr>
          <w:rStyle w:val="Strong"/>
          <w:color w:val="000000"/>
        </w:rPr>
        <w:t>.</w:t>
      </w:r>
    </w:p>
    <w:p>
      <w:pPr>
        <w:pStyle w:val="ListParagraph"/>
        <w:spacing w:lineRule="auto" w:line="240" w:before="0" w:after="0"/>
        <w:ind w:left="928" w:hanging="0"/>
        <w:contextualSpacing/>
        <w:jc w:val="both"/>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ListParagraph"/>
        <w:ind w:left="928" w:hanging="0"/>
        <w:jc w:val="both"/>
        <w:rPr>
          <w:rFonts w:ascii="Times New Roman" w:hAnsi="Times New Roman" w:cs="Times New Roman"/>
          <w:b/>
          <w:b/>
          <w:bCs/>
          <w:color w:val="000000" w:themeColor="text1"/>
          <w:sz w:val="26"/>
          <w:szCs w:val="26"/>
        </w:rPr>
      </w:pPr>
      <w:r>
        <w:rPr>
          <w:rFonts w:cs="Times New Roman" w:ascii="Times New Roman" w:hAnsi="Times New Roman"/>
          <w:b/>
          <w:bCs/>
          <w:color w:val="000000" w:themeColor="text1"/>
          <w:sz w:val="26"/>
          <w:szCs w:val="26"/>
        </w:rPr>
      </w:r>
    </w:p>
    <w:p>
      <w:pPr>
        <w:pStyle w:val="Normal"/>
        <w:tabs>
          <w:tab w:val="clear" w:pos="720"/>
          <w:tab w:val="left" w:pos="851" w:leader="none"/>
        </w:tabs>
        <w:spacing w:before="120" w:after="120"/>
        <w:ind w:firstLine="567"/>
        <w:jc w:val="both"/>
        <w:rPr>
          <w:b/>
          <w:b/>
        </w:rPr>
      </w:pPr>
      <w:r>
        <w:rPr/>
        <w:t>Додаткові вимоги:</w:t>
      </w:r>
    </w:p>
    <w:p>
      <w:pPr>
        <w:pStyle w:val="ListParagraph"/>
        <w:numPr>
          <w:ilvl w:val="0"/>
          <w:numId w:val="12"/>
        </w:numPr>
        <w:tabs>
          <w:tab w:val="clear" w:pos="720"/>
          <w:tab w:val="left" w:pos="709" w:leader="none"/>
          <w:tab w:val="left" w:pos="5828" w:leader="none"/>
        </w:tabs>
        <w:spacing w:lineRule="auto" w:line="240" w:before="0" w:after="0"/>
        <w:ind w:left="0" w:firstLine="426"/>
        <w:contextualSpacing/>
        <w:jc w:val="both"/>
        <w:rPr>
          <w:rFonts w:ascii="Times New Roman" w:hAnsi="Times New Roman" w:cs="Times New Roman"/>
          <w:b/>
          <w:b/>
        </w:rPr>
      </w:pPr>
      <w:r>
        <w:rPr>
          <w:rFonts w:cs="Times New Roman" w:ascii="Times New Roman" w:hAnsi="Times New Roman"/>
        </w:rPr>
        <w:t>Тендерна пропозиція, що не відповідає зазначеним вище технічним вимогам, буде відхилена як така, що не відповідає технічним вимогам тендерної документації.</w:t>
      </w:r>
    </w:p>
    <w:p>
      <w:pPr>
        <w:pStyle w:val="ListParagraph"/>
        <w:numPr>
          <w:ilvl w:val="0"/>
          <w:numId w:val="12"/>
        </w:numPr>
        <w:tabs>
          <w:tab w:val="clear" w:pos="720"/>
          <w:tab w:val="left" w:pos="709" w:leader="none"/>
          <w:tab w:val="left" w:pos="5828" w:leader="none"/>
        </w:tabs>
        <w:spacing w:lineRule="auto" w:line="240" w:before="0" w:after="0"/>
        <w:ind w:left="0" w:firstLine="426"/>
        <w:contextualSpacing/>
        <w:jc w:val="both"/>
        <w:rPr>
          <w:rFonts w:ascii="Times New Roman" w:hAnsi="Times New Roman" w:cs="Times New Roman"/>
          <w:b/>
          <w:b/>
        </w:rPr>
      </w:pPr>
      <w:r>
        <w:rPr>
          <w:rFonts w:cs="Times New Roman" w:ascii="Times New Roman" w:hAnsi="Times New Roman"/>
          <w:bCs/>
        </w:rPr>
        <w:t>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pPr>
        <w:pStyle w:val="Normal"/>
        <w:shd w:val="clear" w:color="auto" w:fill="FFFFFF"/>
        <w:jc w:val="center"/>
        <w:rPr>
          <w:b/>
          <w:b/>
        </w:rPr>
      </w:pPr>
      <w:r>
        <w:rPr>
          <w:b/>
        </w:rPr>
      </w:r>
    </w:p>
    <w:tbl>
      <w:tblPr>
        <w:tblW w:w="10020"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3340"/>
        <w:gridCol w:w="3340"/>
        <w:gridCol w:w="3340"/>
      </w:tblGrid>
      <w:tr>
        <w:trPr/>
        <w:tc>
          <w:tcPr>
            <w:tcW w:w="3340" w:type="dxa"/>
            <w:tcBorders/>
          </w:tcPr>
          <w:p>
            <w:pPr>
              <w:pStyle w:val="Normal"/>
              <w:widowControl w:val="false"/>
              <w:shd w:val="clear" w:color="auto" w:fill="FFFFFF"/>
              <w:spacing w:lineRule="auto" w:line="276"/>
              <w:jc w:val="center"/>
              <w:rPr>
                <w:color w:val="000000"/>
                <w:sz w:val="20"/>
                <w:szCs w:val="20"/>
              </w:rPr>
            </w:pPr>
            <w:r>
              <w:rPr>
                <w:color w:val="000000"/>
                <w:sz w:val="20"/>
                <w:szCs w:val="20"/>
              </w:rPr>
            </w:r>
          </w:p>
          <w:p>
            <w:pPr>
              <w:pStyle w:val="Normal"/>
              <w:widowControl w:val="false"/>
              <w:shd w:val="clear" w:color="auto" w:fill="FFFFFF"/>
              <w:spacing w:lineRule="auto" w:line="276"/>
              <w:jc w:val="center"/>
              <w:rPr>
                <w:color w:val="000000"/>
              </w:rPr>
            </w:pPr>
            <w:r>
              <w:rPr>
                <w:color w:val="000000"/>
                <w:sz w:val="20"/>
                <w:szCs w:val="20"/>
              </w:rPr>
              <w:t>_____________________________</w:t>
            </w:r>
          </w:p>
        </w:tc>
        <w:tc>
          <w:tcPr>
            <w:tcW w:w="3340" w:type="dxa"/>
            <w:tcBorders/>
          </w:tcPr>
          <w:p>
            <w:pPr>
              <w:pStyle w:val="Normal"/>
              <w:widowControl w:val="false"/>
              <w:shd w:val="clear" w:color="auto" w:fill="FFFFFF"/>
              <w:spacing w:lineRule="auto" w:line="276"/>
              <w:jc w:val="center"/>
              <w:rPr>
                <w:color w:val="000000"/>
                <w:sz w:val="20"/>
                <w:szCs w:val="20"/>
              </w:rPr>
            </w:pPr>
            <w:r>
              <w:rPr>
                <w:color w:val="000000"/>
                <w:sz w:val="20"/>
                <w:szCs w:val="20"/>
              </w:rPr>
            </w:r>
          </w:p>
          <w:p>
            <w:pPr>
              <w:pStyle w:val="Normal"/>
              <w:widowControl w:val="false"/>
              <w:shd w:val="clear" w:color="auto" w:fill="FFFFFF"/>
              <w:spacing w:lineRule="auto" w:line="276"/>
              <w:jc w:val="center"/>
              <w:rPr>
                <w:color w:val="000000"/>
              </w:rPr>
            </w:pPr>
            <w:r>
              <w:rPr>
                <w:color w:val="000000"/>
                <w:sz w:val="20"/>
                <w:szCs w:val="20"/>
              </w:rPr>
              <w:t>__________________________</w:t>
            </w:r>
          </w:p>
        </w:tc>
        <w:tc>
          <w:tcPr>
            <w:tcW w:w="3340" w:type="dxa"/>
            <w:tcBorders/>
          </w:tcPr>
          <w:p>
            <w:pPr>
              <w:pStyle w:val="Normal"/>
              <w:widowControl w:val="false"/>
              <w:shd w:val="clear" w:color="auto" w:fill="FFFFFF"/>
              <w:spacing w:lineRule="auto" w:line="276"/>
              <w:jc w:val="center"/>
              <w:rPr>
                <w:color w:val="000000"/>
                <w:sz w:val="20"/>
                <w:szCs w:val="20"/>
              </w:rPr>
            </w:pPr>
            <w:r>
              <w:rPr>
                <w:color w:val="000000"/>
                <w:sz w:val="20"/>
                <w:szCs w:val="20"/>
              </w:rPr>
            </w:r>
          </w:p>
          <w:p>
            <w:pPr>
              <w:pStyle w:val="Normal"/>
              <w:widowControl w:val="false"/>
              <w:shd w:val="clear" w:color="auto" w:fill="FFFFFF"/>
              <w:spacing w:lineRule="auto" w:line="276"/>
              <w:jc w:val="center"/>
              <w:rPr>
                <w:color w:val="000000"/>
              </w:rPr>
            </w:pPr>
            <w:r>
              <w:rPr>
                <w:color w:val="000000"/>
                <w:sz w:val="20"/>
                <w:szCs w:val="20"/>
              </w:rPr>
              <w:t>_________________________</w:t>
            </w:r>
          </w:p>
        </w:tc>
      </w:tr>
      <w:tr>
        <w:trPr/>
        <w:tc>
          <w:tcPr>
            <w:tcW w:w="3340" w:type="dxa"/>
            <w:tcBorders/>
          </w:tcPr>
          <w:p>
            <w:pPr>
              <w:pStyle w:val="Normal"/>
              <w:widowControl w:val="false"/>
              <w:shd w:val="clear" w:color="auto" w:fill="FFFFFF"/>
              <w:spacing w:lineRule="auto" w:line="276"/>
              <w:jc w:val="center"/>
              <w:rPr>
                <w:color w:val="000000"/>
              </w:rPr>
            </w:pPr>
            <w:r>
              <w:rPr>
                <w:i/>
                <w:color w:val="000000"/>
                <w:sz w:val="16"/>
                <w:szCs w:val="16"/>
              </w:rPr>
              <w:t>посада уповноваженої особи Учасника</w:t>
            </w:r>
          </w:p>
        </w:tc>
        <w:tc>
          <w:tcPr>
            <w:tcW w:w="3340" w:type="dxa"/>
            <w:tcBorders/>
          </w:tcPr>
          <w:p>
            <w:pPr>
              <w:pStyle w:val="Normal"/>
              <w:widowControl w:val="false"/>
              <w:shd w:val="clear" w:color="auto" w:fill="FFFFFF"/>
              <w:spacing w:lineRule="auto" w:line="276"/>
              <w:jc w:val="center"/>
              <w:rPr>
                <w:color w:val="000000"/>
              </w:rPr>
            </w:pPr>
            <w:r>
              <w:rPr>
                <w:i/>
                <w:color w:val="000000"/>
                <w:sz w:val="16"/>
                <w:szCs w:val="16"/>
              </w:rPr>
              <w:t>підпис та печатка (за наявності)</w:t>
            </w:r>
          </w:p>
        </w:tc>
        <w:tc>
          <w:tcPr>
            <w:tcW w:w="3340" w:type="dxa"/>
            <w:tcBorders/>
          </w:tcPr>
          <w:p>
            <w:pPr>
              <w:pStyle w:val="Normal"/>
              <w:widowControl w:val="false"/>
              <w:shd w:val="clear" w:color="auto" w:fill="FFFFFF"/>
              <w:spacing w:lineRule="auto" w:line="276"/>
              <w:jc w:val="center"/>
              <w:rPr>
                <w:color w:val="000000"/>
              </w:rPr>
            </w:pPr>
            <w:r>
              <w:rPr>
                <w:i/>
                <w:color w:val="000000"/>
                <w:sz w:val="16"/>
                <w:szCs w:val="16"/>
              </w:rPr>
              <w:t>прізвище, ініціали</w:t>
            </w:r>
          </w:p>
        </w:tc>
      </w:tr>
    </w:tbl>
    <w:p>
      <w:pPr>
        <w:pStyle w:val="Normal"/>
        <w:shd w:val="clear" w:color="auto" w:fill="FFFFFF"/>
        <w:jc w:val="both"/>
        <w:rPr>
          <w:i/>
          <w:i/>
          <w:sz w:val="20"/>
          <w:szCs w:val="20"/>
        </w:rPr>
      </w:pPr>
      <w:r>
        <w:rPr>
          <w:i/>
          <w:sz w:val="20"/>
          <w:szCs w:val="20"/>
        </w:rPr>
      </w:r>
    </w:p>
    <w:p>
      <w:pPr>
        <w:pStyle w:val="Normal"/>
        <w:shd w:val="clear" w:color="auto" w:fill="FFFFFF"/>
        <w:jc w:val="both"/>
        <w:rPr>
          <w:i/>
          <w:i/>
          <w:sz w:val="20"/>
          <w:szCs w:val="20"/>
        </w:rPr>
      </w:pPr>
      <w:r>
        <w:rPr>
          <w:i/>
          <w:sz w:val="20"/>
          <w:szCs w:val="20"/>
        </w:rPr>
        <w:t>Учасник, у складі тендерної пропозиції надає ТЕХНІЧНУ СПЕЦИФІКАЦІЮ та порівняльну таблицю відповідності запропонованого товару(*у разі надання еквіваленту товару).</w:t>
      </w:r>
    </w:p>
    <w:p>
      <w:pPr>
        <w:pStyle w:val="Normal"/>
        <w:rPr>
          <w:color w:val="000000" w:themeColor="text1"/>
        </w:rPr>
      </w:pPr>
      <w:r>
        <w:rPr>
          <w:color w:val="000000" w:themeColor="text1"/>
        </w:rPr>
      </w:r>
    </w:p>
    <w:p>
      <w:pPr>
        <w:pStyle w:val="Normal"/>
        <w:tabs>
          <w:tab w:val="clear" w:pos="720"/>
          <w:tab w:val="left" w:pos="360" w:leader="none"/>
          <w:tab w:val="left" w:pos="851" w:leader="none"/>
          <w:tab w:val="left" w:pos="993" w:leader="none"/>
        </w:tabs>
        <w:ind w:right="22" w:hanging="0"/>
        <w:jc w:val="both"/>
        <w:rPr/>
      </w:pPr>
      <w:r>
        <w:rPr/>
      </w:r>
    </w:p>
    <w:p>
      <w:pPr>
        <w:pStyle w:val="Normal"/>
        <w:rPr>
          <w:i/>
          <w:i/>
        </w:rPr>
      </w:pPr>
      <w:r>
        <w:rPr>
          <w:i/>
        </w:rPr>
      </w:r>
    </w:p>
    <w:p>
      <w:pPr>
        <w:pStyle w:val="NormalWeb"/>
        <w:tabs>
          <w:tab w:val="clear" w:pos="720"/>
          <w:tab w:val="left" w:pos="-540" w:leader="none"/>
          <w:tab w:val="left" w:pos="-3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40" w:hanging="0"/>
        <w:jc w:val="both"/>
        <w:rPr/>
      </w:pPr>
      <w:r>
        <w:rPr>
          <w:color w:val="333333"/>
          <w:shd w:fill="FFFFFF" w:val="clear"/>
        </w:rPr>
        <w:t xml:space="preserve">                  </w:t>
      </w:r>
      <w:r>
        <w:rPr/>
        <w:t>_______</w:t>
        <w:tab/>
        <w:tab/>
        <w:tab/>
        <w:tab/>
        <w:tab/>
        <w:t xml:space="preserve">                       _____________</w:t>
        <w:tab/>
        <w:tab/>
        <w:tab/>
        <w:tab/>
        <w:t>___________</w:t>
      </w:r>
    </w:p>
    <w:p>
      <w:pPr>
        <w:pStyle w:val="Normal"/>
        <w:ind w:firstLine="539"/>
        <w:jc w:val="both"/>
        <w:rPr>
          <w:i/>
          <w:i/>
          <w:iCs/>
        </w:rPr>
      </w:pPr>
      <w:r>
        <w:rPr>
          <w:i/>
          <w:iCs/>
        </w:rPr>
        <w:t xml:space="preserve">Посада                            підпис уповноваженої особи Учасника </w:t>
        <w:tab/>
        <w:tab/>
        <w:tab/>
        <w:t xml:space="preserve">    ПІБ</w:t>
      </w:r>
    </w:p>
    <w:p>
      <w:pPr>
        <w:pStyle w:val="Normal"/>
        <w:widowControl w:val="false"/>
        <w:spacing w:before="0" w:after="0"/>
        <w:ind w:right="113" w:firstLine="567"/>
        <w:contextualSpacing/>
        <w:jc w:val="both"/>
        <w:rPr>
          <w:b/>
          <w:b/>
          <w:i/>
          <w:i/>
          <w:iCs/>
        </w:rPr>
      </w:pPr>
      <w:r>
        <w:rPr>
          <w:b/>
          <w:i/>
          <w:iCs/>
        </w:rPr>
      </w:r>
    </w:p>
    <w:p>
      <w:pPr>
        <w:pStyle w:val="Normal"/>
        <w:widowControl w:val="false"/>
        <w:spacing w:before="0" w:after="0"/>
        <w:ind w:right="113" w:firstLine="567"/>
        <w:contextualSpacing/>
        <w:jc w:val="both"/>
        <w:rPr/>
      </w:pPr>
      <w:r>
        <w:rPr>
          <w:b/>
          <w:i/>
          <w:iCs/>
        </w:rPr>
        <w:t>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(за наявності).</w:t>
      </w:r>
    </w:p>
    <w:p>
      <w:pPr>
        <w:pStyle w:val="15"/>
        <w:tabs>
          <w:tab w:val="clear" w:pos="720"/>
          <w:tab w:val="left" w:pos="365" w:leader="none"/>
        </w:tabs>
        <w:spacing w:lineRule="auto" w:line="240"/>
        <w:rPr>
          <w:rFonts w:ascii="Times New Roman" w:hAnsi="Times New Roman"/>
          <w:i/>
          <w:i/>
          <w:sz w:val="24"/>
          <w:szCs w:val="24"/>
          <w:lang w:val="uk-UA"/>
        </w:rPr>
      </w:pPr>
      <w:r>
        <w:rPr>
          <w:rFonts w:ascii="Times New Roman" w:hAnsi="Times New Roman"/>
          <w:i/>
          <w:sz w:val="24"/>
          <w:szCs w:val="24"/>
          <w:lang w:val="uk-UA"/>
        </w:rPr>
      </w:r>
    </w:p>
    <w:p>
      <w:pPr>
        <w:pStyle w:val="Normal"/>
        <w:jc w:val="both"/>
        <w:rPr/>
      </w:pPr>
      <w:r>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b/>
          <w:b/>
          <w:bCs/>
          <w:color w:val="000000"/>
        </w:rPr>
      </w:pPr>
      <w:r>
        <w:rPr>
          <w:b/>
          <w:bCs/>
          <w:color w:val="000000"/>
        </w:rPr>
      </w:r>
    </w:p>
    <w:p>
      <w:pPr>
        <w:pStyle w:val="Normal"/>
        <w:jc w:val="both"/>
        <w:rPr/>
      </w:pPr>
      <w:r>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lang w:val="ru-RU"/>
        </w:rPr>
      </w:pPr>
      <w:r>
        <w:rPr>
          <w:b/>
        </w:rPr>
        <w:t xml:space="preserve">Додаток </w:t>
      </w:r>
      <w:r>
        <w:rPr>
          <w:b/>
          <w:lang w:val="ru-RU"/>
        </w:rPr>
        <w:t>3</w:t>
      </w:r>
    </w:p>
    <w:p>
      <w:pPr>
        <w:pStyle w:val="NoSpacing"/>
        <w:jc w:val="right"/>
        <w:rPr>
          <w:rFonts w:ascii="Times New Roman" w:hAnsi="Times New Roman"/>
          <w:bCs/>
          <w:i/>
          <w:i/>
          <w:sz w:val="24"/>
          <w:szCs w:val="24"/>
          <w:lang w:eastAsia="ar-SA"/>
        </w:rPr>
      </w:pPr>
      <w:r>
        <w:rPr>
          <w:rFonts w:ascii="Times New Roman" w:hAnsi="Times New Roman"/>
          <w:i/>
          <w:sz w:val="24"/>
          <w:szCs w:val="24"/>
        </w:rPr>
        <w:t xml:space="preserve">до тендерної документації </w:t>
      </w:r>
    </w:p>
    <w:p>
      <w:pPr>
        <w:pStyle w:val="NoSpacing"/>
        <w:jc w:val="right"/>
        <w:rPr>
          <w:rFonts w:ascii="Times New Roman" w:hAnsi="Times New Roman"/>
          <w:bCs/>
          <w:i/>
          <w:i/>
          <w:sz w:val="20"/>
          <w:szCs w:val="20"/>
          <w:lang w:eastAsia="ar-SA"/>
        </w:rPr>
      </w:pPr>
      <w:r>
        <w:rPr>
          <w:rFonts w:ascii="Times New Roman" w:hAnsi="Times New Roman"/>
          <w:bCs/>
          <w:i/>
          <w:sz w:val="20"/>
          <w:szCs w:val="20"/>
          <w:lang w:eastAsia="ar-SA"/>
        </w:rPr>
      </w:r>
    </w:p>
    <w:p>
      <w:pPr>
        <w:pStyle w:val="Normal"/>
        <w:keepNext w:val="true"/>
        <w:numPr>
          <w:ilvl w:val="0"/>
          <w:numId w:val="0"/>
        </w:numPr>
        <w:shd w:val="clear" w:color="auto" w:fill="FFFFFF"/>
        <w:tabs>
          <w:tab w:val="clear" w:pos="720"/>
          <w:tab w:val="left" w:pos="9254" w:leader="dot"/>
        </w:tabs>
        <w:jc w:val="both"/>
        <w:outlineLvl w:val="2"/>
        <w:rPr>
          <w:b/>
          <w:b/>
        </w:rPr>
      </w:pPr>
      <w:r>
        <w:rPr>
          <w:b/>
        </w:rPr>
        <w:t>Примітки до подання Проекту договору про закупівлю учасниками до кінцевого строку подання тендерних пропозицій:</w:t>
      </w:r>
    </w:p>
    <w:p>
      <w:pPr>
        <w:pStyle w:val="Normal"/>
        <w:keepNext w:val="true"/>
        <w:numPr>
          <w:ilvl w:val="0"/>
          <w:numId w:val="9"/>
        </w:numPr>
        <w:shd w:val="clear" w:color="auto" w:fill="FFFFFF"/>
        <w:tabs>
          <w:tab w:val="clear" w:pos="720"/>
          <w:tab w:val="left" w:pos="709" w:leader="dot"/>
        </w:tabs>
        <w:ind w:left="0" w:hanging="0"/>
        <w:jc w:val="both"/>
        <w:outlineLvl w:val="2"/>
        <w:rPr>
          <w:i/>
          <w:i/>
        </w:rPr>
      </w:pPr>
      <w:r>
        <w:rPr>
          <w:i/>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укладення договору ,дати договору, цін в договорі та Специфікації, реквізитів Покупця.</w:t>
      </w:r>
    </w:p>
    <w:p>
      <w:pPr>
        <w:pStyle w:val="Normal"/>
        <w:keepNext w:val="true"/>
        <w:numPr>
          <w:ilvl w:val="0"/>
          <w:numId w:val="9"/>
        </w:numPr>
        <w:shd w:val="clear" w:color="auto" w:fill="FFFFFF"/>
        <w:tabs>
          <w:tab w:val="clear" w:pos="720"/>
          <w:tab w:val="left" w:pos="709" w:leader="dot"/>
        </w:tabs>
        <w:ind w:left="0" w:hanging="0"/>
        <w:jc w:val="both"/>
        <w:outlineLvl w:val="2"/>
        <w:rPr>
          <w:i/>
          <w:i/>
        </w:rPr>
      </w:pPr>
      <w:r>
        <w:rPr>
          <w:i/>
        </w:rPr>
        <w:t>учасник не повинен відступати від даної форми;</w:t>
      </w:r>
    </w:p>
    <w:p>
      <w:pPr>
        <w:pStyle w:val="Normal"/>
        <w:keepNext w:val="true"/>
        <w:numPr>
          <w:ilvl w:val="0"/>
          <w:numId w:val="9"/>
        </w:numPr>
        <w:shd w:val="clear" w:color="auto" w:fill="FFFFFF"/>
        <w:tabs>
          <w:tab w:val="clear" w:pos="720"/>
          <w:tab w:val="left" w:pos="709" w:leader="dot"/>
        </w:tabs>
        <w:ind w:left="0" w:hanging="0"/>
        <w:jc w:val="both"/>
        <w:outlineLvl w:val="2"/>
        <w:rPr>
          <w:b/>
          <w:b/>
        </w:rPr>
      </w:pPr>
      <w:r>
        <w:rPr>
          <w:i/>
        </w:rPr>
        <w:t xml:space="preserve">умови, для яких не залишено вільного місця для вписування власних відомостей, </w:t>
      </w:r>
    </w:p>
    <w:p>
      <w:pPr>
        <w:pStyle w:val="Normal"/>
        <w:widowControl w:val="false"/>
        <w:ind w:right="196" w:hanging="0"/>
        <w:jc w:val="both"/>
        <w:rPr>
          <w:i/>
          <w:i/>
        </w:rPr>
      </w:pPr>
      <w:r>
        <w:rPr>
          <w:i/>
        </w:rPr>
        <w:t>зміні та/або коригуванню не підлягають.</w:t>
      </w:r>
    </w:p>
    <w:p>
      <w:pPr>
        <w:pStyle w:val="Normal"/>
        <w:tabs>
          <w:tab w:val="clear" w:pos="720"/>
          <w:tab w:val="left" w:pos="5991" w:leader="underscore"/>
        </w:tabs>
        <w:jc w:val="both"/>
        <w:rPr>
          <w:rStyle w:val="31"/>
          <w:rFonts w:eastAsia="Calibri"/>
          <w:bCs w:val="false"/>
          <w:sz w:val="24"/>
          <w:szCs w:val="24"/>
        </w:rPr>
      </w:pPr>
      <w:r>
        <w:rPr>
          <w:b/>
        </w:rPr>
        <w:t>Проект договору про закупівлю викладено в окремому файлі</w:t>
      </w:r>
    </w:p>
    <w:p>
      <w:pPr>
        <w:sectPr>
          <w:type w:val="nextPage"/>
          <w:pgSz w:w="11906" w:h="16838"/>
          <w:pgMar w:left="851" w:right="851" w:gutter="0" w:header="0" w:top="567" w:footer="0" w:bottom="1134"/>
          <w:pgNumType w:fmt="decimal"/>
          <w:formProt w:val="false"/>
          <w:textDirection w:val="lrTb"/>
        </w:sectPr>
      </w:pPr>
    </w:p>
    <w:p>
      <w:pPr>
        <w:pStyle w:val="Normal"/>
        <w:jc w:val="right"/>
        <w:rPr>
          <w:b/>
          <w:b/>
          <w:lang w:val="ru-RU"/>
        </w:rPr>
      </w:pPr>
      <w:r>
        <w:rPr>
          <w:b/>
        </w:rPr>
        <w:t xml:space="preserve">Додаток </w:t>
      </w:r>
      <w:r>
        <w:rPr>
          <w:b/>
          <w:lang w:val="ru-RU"/>
        </w:rPr>
        <w:t>4</w:t>
      </w:r>
    </w:p>
    <w:p>
      <w:pPr>
        <w:pStyle w:val="NoSpacing"/>
        <w:jc w:val="right"/>
        <w:rPr>
          <w:rFonts w:ascii="Times New Roman" w:hAnsi="Times New Roman"/>
          <w:i/>
          <w:i/>
          <w:sz w:val="24"/>
          <w:szCs w:val="24"/>
        </w:rPr>
      </w:pPr>
      <w:r>
        <w:rPr>
          <w:rFonts w:ascii="Times New Roman" w:hAnsi="Times New Roman"/>
          <w:i/>
          <w:sz w:val="24"/>
          <w:szCs w:val="24"/>
        </w:rPr>
        <w:t xml:space="preserve">до тендерної документації  </w:t>
      </w:r>
    </w:p>
    <w:p>
      <w:pPr>
        <w:pStyle w:val="Normal"/>
        <w:jc w:val="right"/>
        <w:rPr>
          <w:i/>
          <w:i/>
          <w:iCs/>
          <w:sz w:val="20"/>
          <w:szCs w:val="20"/>
        </w:rPr>
      </w:pPr>
      <w:r>
        <w:rPr>
          <w:i/>
          <w:iCs/>
          <w:sz w:val="20"/>
          <w:szCs w:val="20"/>
        </w:rPr>
        <w:t xml:space="preserve">Форма «Тендерна пропозиція». </w:t>
      </w:r>
    </w:p>
    <w:p>
      <w:pPr>
        <w:pStyle w:val="1"/>
        <w:spacing w:lineRule="auto" w:line="240"/>
        <w:jc w:val="center"/>
        <w:rPr>
          <w:rFonts w:ascii="Times New Roman" w:hAnsi="Times New Roman" w:cs="Times New Roman"/>
          <w:caps/>
          <w:sz w:val="24"/>
          <w:szCs w:val="24"/>
          <w:u w:val="single"/>
        </w:rPr>
      </w:pPr>
      <w:r>
        <w:rPr>
          <w:rFonts w:cs="Times New Roman" w:ascii="Times New Roman" w:hAnsi="Times New Roman"/>
          <w:caps/>
          <w:sz w:val="24"/>
          <w:szCs w:val="24"/>
          <w:u w:val="single"/>
        </w:rPr>
        <w:t xml:space="preserve"> </w:t>
      </w:r>
      <w:r>
        <w:rPr>
          <w:rFonts w:cs="Times New Roman" w:ascii="Times New Roman" w:hAnsi="Times New Roman"/>
          <w:caps/>
          <w:sz w:val="24"/>
          <w:szCs w:val="24"/>
          <w:u w:val="single"/>
        </w:rPr>
        <w:t>«тендерна пропозиція»</w:t>
      </w:r>
    </w:p>
    <w:p>
      <w:pPr>
        <w:pStyle w:val="Normal"/>
        <w:jc w:val="center"/>
        <w:rPr>
          <w:i/>
          <w:i/>
        </w:rPr>
      </w:pPr>
      <w:r>
        <w:rPr>
          <w:iCs/>
        </w:rPr>
        <w:t xml:space="preserve">        </w:t>
      </w:r>
      <w:r>
        <w:rPr>
          <w:i/>
        </w:rPr>
        <w:t>(форма подається на фірмовому бланку учасника (за наявності)</w:t>
      </w:r>
    </w:p>
    <w:p>
      <w:pPr>
        <w:pStyle w:val="Normal"/>
        <w:jc w:val="both"/>
        <w:rPr>
          <w:b/>
          <w:b/>
        </w:rPr>
      </w:pPr>
      <w:r>
        <w:rPr/>
        <w:t xml:space="preserve">        </w:t>
      </w:r>
      <w:r>
        <w:rPr/>
        <w:t>______________________________________(назва підприємства/фізичної особи), надає свою пропозицію щодо участі у закупівлі ______________________________________________</w:t>
      </w:r>
    </w:p>
    <w:p>
      <w:pPr>
        <w:pStyle w:val="Normal"/>
        <w:numPr>
          <w:ilvl w:val="0"/>
          <w:numId w:val="10"/>
        </w:numPr>
        <w:suppressAutoHyphens w:val="true"/>
        <w:ind w:left="714" w:hanging="357"/>
        <w:jc w:val="both"/>
        <w:rPr>
          <w:lang w:eastAsia="zh-CN"/>
        </w:rPr>
      </w:pPr>
      <w:r>
        <w:rPr>
          <w:lang w:eastAsia="zh-CN"/>
        </w:rPr>
        <w:t>Повне та скорочене найменування учасника (П.І.Б. – для фізичної особи, в тому числі фізичної особи-підприємця):</w:t>
      </w:r>
    </w:p>
    <w:p>
      <w:pPr>
        <w:pStyle w:val="Normal"/>
        <w:numPr>
          <w:ilvl w:val="0"/>
          <w:numId w:val="10"/>
        </w:numPr>
        <w:suppressAutoHyphens w:val="true"/>
        <w:ind w:left="714" w:hanging="357"/>
        <w:jc w:val="both"/>
        <w:rPr>
          <w:lang w:eastAsia="zh-CN"/>
        </w:rPr>
      </w:pPr>
      <w:r>
        <w:rPr>
          <w:lang w:eastAsia="zh-CN"/>
        </w:rPr>
        <w:t>Назва установчого документа, на підставі якого діє учасник, його номер та дата:</w:t>
      </w:r>
    </w:p>
    <w:p>
      <w:pPr>
        <w:pStyle w:val="Normal"/>
        <w:numPr>
          <w:ilvl w:val="0"/>
          <w:numId w:val="10"/>
        </w:numPr>
        <w:suppressAutoHyphens w:val="true"/>
        <w:ind w:left="714" w:hanging="357"/>
        <w:jc w:val="both"/>
        <w:rPr>
          <w:lang w:eastAsia="zh-CN"/>
        </w:rPr>
      </w:pPr>
      <w:r>
        <w:rPr>
          <w:lang w:eastAsia="zh-CN"/>
        </w:rPr>
        <w:t>Місце та дата проведення державної реєстрації учасника:</w:t>
      </w:r>
    </w:p>
    <w:p>
      <w:pPr>
        <w:pStyle w:val="Normal"/>
        <w:numPr>
          <w:ilvl w:val="0"/>
          <w:numId w:val="10"/>
        </w:numPr>
        <w:suppressAutoHyphens w:val="true"/>
        <w:ind w:left="714" w:hanging="357"/>
        <w:jc w:val="both"/>
        <w:rPr>
          <w:lang w:eastAsia="zh-CN"/>
        </w:rPr>
      </w:pPr>
      <w:r>
        <w:rPr>
          <w:lang w:eastAsia="zh-CN"/>
        </w:rPr>
        <w:t>Організаційно-правова форма:</w:t>
      </w:r>
    </w:p>
    <w:p>
      <w:pPr>
        <w:pStyle w:val="Normal"/>
        <w:numPr>
          <w:ilvl w:val="0"/>
          <w:numId w:val="10"/>
        </w:numPr>
        <w:suppressAutoHyphens w:val="true"/>
        <w:ind w:left="714" w:hanging="357"/>
        <w:jc w:val="both"/>
        <w:rPr>
          <w:lang w:eastAsia="zh-CN"/>
        </w:rPr>
      </w:pPr>
      <w:r>
        <w:rPr>
          <w:lang w:eastAsia="zh-CN"/>
        </w:rPr>
        <w:t>Форма власності:</w:t>
      </w:r>
    </w:p>
    <w:p>
      <w:pPr>
        <w:pStyle w:val="Normal"/>
        <w:numPr>
          <w:ilvl w:val="0"/>
          <w:numId w:val="10"/>
        </w:numPr>
        <w:suppressAutoHyphens w:val="true"/>
        <w:ind w:left="714" w:hanging="357"/>
        <w:jc w:val="both"/>
        <w:rPr>
          <w:lang w:eastAsia="zh-CN"/>
        </w:rPr>
      </w:pPr>
      <w:r>
        <w:rPr>
          <w:lang w:eastAsia="zh-CN"/>
        </w:rPr>
        <w:t xml:space="preserve">Юридична адреса: </w:t>
      </w:r>
    </w:p>
    <w:p>
      <w:pPr>
        <w:pStyle w:val="Normal"/>
        <w:numPr>
          <w:ilvl w:val="0"/>
          <w:numId w:val="10"/>
        </w:numPr>
        <w:suppressAutoHyphens w:val="true"/>
        <w:ind w:left="714" w:hanging="357"/>
        <w:jc w:val="both"/>
        <w:rPr>
          <w:lang w:eastAsia="zh-CN"/>
        </w:rPr>
      </w:pPr>
      <w:r>
        <w:rPr>
          <w:lang w:eastAsia="zh-CN"/>
        </w:rPr>
        <w:t xml:space="preserve">Поштова адреса: </w:t>
      </w:r>
    </w:p>
    <w:p>
      <w:pPr>
        <w:pStyle w:val="Normal"/>
        <w:numPr>
          <w:ilvl w:val="0"/>
          <w:numId w:val="10"/>
        </w:numPr>
        <w:suppressAutoHyphens w:val="true"/>
        <w:ind w:left="714" w:hanging="357"/>
        <w:jc w:val="both"/>
        <w:rPr>
          <w:lang w:eastAsia="zh-CN"/>
        </w:rPr>
      </w:pPr>
      <w:r>
        <w:rPr>
          <w:lang w:eastAsia="zh-CN"/>
        </w:rPr>
        <w:t>Банківські реквізити обслуговуючого (-их) банку (-ів):</w:t>
      </w:r>
    </w:p>
    <w:p>
      <w:pPr>
        <w:pStyle w:val="Normal"/>
        <w:numPr>
          <w:ilvl w:val="0"/>
          <w:numId w:val="10"/>
        </w:numPr>
        <w:tabs>
          <w:tab w:val="clear" w:pos="720"/>
          <w:tab w:val="left" w:pos="462" w:leader="none"/>
        </w:tabs>
        <w:suppressAutoHyphens w:val="true"/>
        <w:ind w:left="714" w:hanging="357"/>
        <w:jc w:val="both"/>
        <w:rPr>
          <w:lang w:eastAsia="zh-CN"/>
        </w:rPr>
      </w:pPr>
      <w:r>
        <w:rPr>
          <w:lang w:eastAsia="zh-CN"/>
        </w:rPr>
        <w:t>Дані про посадових осіб учасника**:</w:t>
      </w:r>
    </w:p>
    <w:p>
      <w:pPr>
        <w:pStyle w:val="Normal"/>
        <w:numPr>
          <w:ilvl w:val="0"/>
          <w:numId w:val="10"/>
        </w:numPr>
        <w:tabs>
          <w:tab w:val="clear" w:pos="720"/>
          <w:tab w:val="left" w:pos="462" w:leader="none"/>
        </w:tabs>
        <w:suppressAutoHyphens w:val="true"/>
        <w:ind w:left="714" w:hanging="357"/>
        <w:jc w:val="both"/>
        <w:rPr>
          <w:lang w:eastAsia="zh-CN"/>
        </w:rPr>
      </w:pPr>
      <w:r>
        <w:rPr>
          <w:lang w:eastAsia="zh-CN"/>
        </w:rPr>
        <w:t>Електрона пошта, телефон для зв’язку.</w:t>
      </w:r>
    </w:p>
    <w:tbl>
      <w:tblPr>
        <w:tblW w:w="977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67"/>
        <w:gridCol w:w="2122"/>
        <w:gridCol w:w="1275"/>
        <w:gridCol w:w="1134"/>
        <w:gridCol w:w="1247"/>
        <w:gridCol w:w="1162"/>
        <w:gridCol w:w="1106"/>
        <w:gridCol w:w="1161"/>
      </w:tblGrid>
      <w:tr>
        <w:trPr>
          <w:trHeight w:val="675"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п/п</w:t>
            </w:r>
          </w:p>
        </w:tc>
        <w:tc>
          <w:tcPr>
            <w:tcW w:w="21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bCs/>
                <w:spacing w:val="-8"/>
              </w:rPr>
            </w:pPr>
            <w:r>
              <w:rPr>
                <w:b/>
                <w:lang w:eastAsia="zh-CN"/>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bCs/>
                <w:spacing w:val="-8"/>
              </w:rPr>
            </w:pPr>
            <w:r>
              <w:rPr>
                <w:b/>
                <w:bCs/>
                <w:spacing w:val="-8"/>
              </w:rPr>
              <w:t>Кількість</w:t>
            </w:r>
          </w:p>
          <w:p>
            <w:pPr>
              <w:pStyle w:val="Normal"/>
              <w:widowControl w:val="false"/>
              <w:shd w:val="clear" w:color="auto" w:fill="FFFFFF"/>
              <w:rPr>
                <w:b/>
                <w:b/>
                <w:bCs/>
                <w:spacing w:val="-8"/>
              </w:rPr>
            </w:pPr>
            <w:r>
              <w:rPr>
                <w:b/>
                <w:bCs/>
                <w:spacing w:val="-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rPr>
                <w:b/>
                <w:b/>
                <w:bCs/>
                <w:spacing w:val="-8"/>
              </w:rPr>
            </w:pPr>
            <w:r>
              <w:rPr>
                <w:b/>
                <w:bCs/>
                <w:spacing w:val="-8"/>
              </w:rPr>
              <w:t>Од. виміру</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Ціна</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 </w:t>
            </w:r>
            <w:r>
              <w:rPr>
                <w:b/>
                <w:bCs/>
                <w:spacing w:val="-8"/>
              </w:rPr>
              <w:t>за одиницю без ПДВ (грн.)</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Ціна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за одиницю з ПДВ (грн.)</w:t>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Сума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без ПДВ (грн.)</w:t>
            </w:r>
          </w:p>
        </w:tc>
        <w:tc>
          <w:tcPr>
            <w:tcW w:w="11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Сума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з ПДВ (грн.)</w:t>
            </w:r>
          </w:p>
        </w:tc>
      </w:tr>
      <w:tr>
        <w:trPr>
          <w:trHeight w:val="339"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t>1…</w:t>
            </w:r>
          </w:p>
        </w:tc>
        <w:tc>
          <w:tcPr>
            <w:tcW w:w="21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b/>
                <w:b/>
              </w:rPr>
            </w:pPr>
            <w:r>
              <w:rPr>
                <w:b/>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b/>
                <w:b/>
              </w:rPr>
            </w:pPr>
            <w:r>
              <w:rPr/>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i/>
                <w:i/>
              </w:rPr>
            </w:pPr>
            <w:r>
              <w:rPr>
                <w:i/>
              </w:rPr>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c>
          <w:tcPr>
            <w:tcW w:w="11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r>
      <w:tr>
        <w:trPr>
          <w:trHeight w:val="339"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r>
          </w:p>
        </w:tc>
        <w:tc>
          <w:tcPr>
            <w:tcW w:w="21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b/>
                <w:b/>
              </w:rPr>
            </w:pPr>
            <w:r>
              <w:rPr>
                <w:b/>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b/>
                <w:b/>
              </w:rPr>
            </w:pPr>
            <w:r>
              <w:rPr/>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i/>
                <w:i/>
              </w:rPr>
            </w:pPr>
            <w:r>
              <w:rPr>
                <w:i/>
              </w:rPr>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c>
          <w:tcPr>
            <w:tcW w:w="11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r>
      <w:tr>
        <w:trPr>
          <w:trHeight w:val="275" w:hRule="atLeast"/>
          <w:cantSplit w:val="true"/>
        </w:trPr>
        <w:tc>
          <w:tcPr>
            <w:tcW w:w="7507"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rPr>
                <w:b/>
                <w:b/>
                <w:bCs/>
                <w:spacing w:val="-8"/>
              </w:rPr>
            </w:pPr>
            <w:r>
              <w:rPr>
                <w:b/>
                <w:bCs/>
                <w:spacing w:val="-8"/>
              </w:rPr>
              <w:t>без ПДВ (грн.)</w:t>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r>
          </w:p>
        </w:tc>
      </w:tr>
      <w:tr>
        <w:trPr>
          <w:trHeight w:val="266" w:hRule="atLeast"/>
          <w:cantSplit w:val="true"/>
        </w:trPr>
        <w:tc>
          <w:tcPr>
            <w:tcW w:w="7507"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rPr>
                <w:b/>
                <w:b/>
              </w:rPr>
            </w:pPr>
            <w:r>
              <w:rPr>
                <w:b/>
                <w:bCs/>
                <w:spacing w:val="-8"/>
              </w:rPr>
              <w:t>ПДВ (грн.)</w:t>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r>
          </w:p>
        </w:tc>
      </w:tr>
      <w:tr>
        <w:trPr>
          <w:trHeight w:val="346" w:hRule="atLeast"/>
          <w:cantSplit w:val="true"/>
        </w:trPr>
        <w:tc>
          <w:tcPr>
            <w:tcW w:w="7507"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both"/>
              <w:rPr>
                <w:b/>
                <w:b/>
              </w:rPr>
            </w:pPr>
            <w:r>
              <w:rPr>
                <w:b/>
              </w:rPr>
              <w:t>Всього</w:t>
            </w:r>
            <w:r>
              <w:rPr>
                <w:b/>
                <w:bCs/>
                <w:spacing w:val="-8"/>
              </w:rPr>
              <w:t xml:space="preserve"> з ПДВ (грн.)</w:t>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r>
          </w:p>
        </w:tc>
      </w:tr>
    </w:tbl>
    <w:p>
      <w:pPr>
        <w:pStyle w:val="Normal"/>
        <w:tabs>
          <w:tab w:val="clear" w:pos="720"/>
          <w:tab w:val="left" w:pos="3885" w:leader="none"/>
        </w:tabs>
        <w:suppressAutoHyphens w:val="true"/>
        <w:jc w:val="both"/>
        <w:rPr>
          <w:highlight w:val="yellow"/>
          <w:lang w:eastAsia="zh-CN"/>
        </w:rPr>
      </w:pPr>
      <w:r>
        <w:rPr/>
        <w:t xml:space="preserve">           </w:t>
      </w:r>
      <w:r>
        <w:rPr/>
        <w:t>Уважно вивчивши тендерну документацію, подаємо свою тендерну пропозицію на участь у відкритих торгах щодо закупівлі</w:t>
      </w:r>
      <w:r>
        <w:rPr>
          <w:b/>
        </w:rPr>
        <w:t>,</w:t>
      </w:r>
      <w:r>
        <w:rPr/>
        <w:t xml:space="preserve"> </w:t>
      </w:r>
      <w:r>
        <w:rPr>
          <w:b/>
        </w:rPr>
        <w:t xml:space="preserve">______________ (код ДК 021:2015: __________________) </w:t>
      </w:r>
      <w:r>
        <w:rPr/>
        <w:t xml:space="preserve">згідно з технічними та іншими вимогами Замовника торгів на загальну суму ___________ грн. з ПДВ / без ПДВ(зазначається учасником) </w:t>
      </w:r>
    </w:p>
    <w:p>
      <w:pPr>
        <w:pStyle w:val="Normal"/>
        <w:pBdr/>
        <w:spacing w:before="90" w:after="0"/>
        <w:jc w:val="both"/>
        <w:rPr>
          <w:b/>
          <w:b/>
          <w:bCs/>
          <w:color w:val="000000"/>
        </w:rPr>
      </w:pPr>
      <w:r>
        <w:rPr>
          <w:b/>
          <w:bCs/>
          <w:color w:val="000000"/>
        </w:rPr>
        <w:t>Ми погоджуємося:</w:t>
      </w:r>
    </w:p>
    <w:p>
      <w:pPr>
        <w:pStyle w:val="Normal"/>
        <w:widowControl w:val="false"/>
        <w:numPr>
          <w:ilvl w:val="1"/>
          <w:numId w:val="11"/>
        </w:numPr>
        <w:pBdr/>
        <w:tabs>
          <w:tab w:val="clear" w:pos="720"/>
          <w:tab w:val="left" w:pos="882" w:leader="none"/>
        </w:tabs>
        <w:ind w:left="0" w:firstLine="247"/>
        <w:jc w:val="both"/>
        <w:rPr>
          <w:color w:val="000000"/>
        </w:rPr>
      </w:pPr>
      <w:r>
        <w:rPr>
          <w:color w:val="000000"/>
        </w:rPr>
        <w:t>Дотримуватися умов цієї тендерної пропозиції протягом 120 календарних днів із дати кінцевого строку подання тендерних пропозицій. Наша пропозиція буде обов'язковою для нас і може бути визнана найвигіднішою Вами у будь-який час до закінчення зазначеного терміну.</w:t>
      </w:r>
    </w:p>
    <w:p>
      <w:pPr>
        <w:pStyle w:val="Normal"/>
        <w:widowControl w:val="false"/>
        <w:numPr>
          <w:ilvl w:val="1"/>
          <w:numId w:val="11"/>
        </w:numPr>
        <w:pBdr/>
        <w:tabs>
          <w:tab w:val="clear" w:pos="720"/>
          <w:tab w:val="left" w:pos="825" w:leader="none"/>
        </w:tabs>
        <w:ind w:left="0" w:firstLine="247"/>
        <w:jc w:val="both"/>
        <w:rPr>
          <w:color w:val="000000"/>
        </w:rPr>
      </w:pPr>
      <w:r>
        <w:rPr>
          <w:color w:val="000000"/>
        </w:rPr>
        <w:t>З істотними умовами договору, які викладені в цій документації та проекті договору про закупівлю  та у разі визнання нашої тендерної пропозиції найвигіднішою підписати договір у відповідності до нашої пропозиції, згідно з проекту договору, який наведено у цій документації.</w:t>
      </w:r>
    </w:p>
    <w:p>
      <w:pPr>
        <w:pStyle w:val="Normal"/>
        <w:rPr>
          <w:b/>
          <w:b/>
        </w:rPr>
      </w:pPr>
      <w:r>
        <w:rPr/>
      </w:r>
    </w:p>
    <w:p>
      <w:pPr>
        <w:pStyle w:val="Normal"/>
        <w:rPr>
          <w:b/>
          <w:b/>
        </w:rPr>
      </w:pPr>
      <w:r>
        <w:rPr/>
        <w:t>Керівник (або Уповноважена особа)          ____________</w:t>
        <w:tab/>
        <w:tab/>
        <w:t>___________________________</w:t>
      </w:r>
    </w:p>
    <w:p>
      <w:pPr>
        <w:pStyle w:val="Normal"/>
        <w:jc w:val="both"/>
        <w:rPr>
          <w:b/>
          <w:b/>
        </w:rPr>
      </w:pPr>
      <w:r>
        <w:rPr>
          <w:b/>
        </w:rPr>
        <w:t xml:space="preserve">   </w:t>
      </w:r>
      <w:r>
        <w:rPr>
          <w:b/>
        </w:rPr>
        <w:tab/>
        <w:tab/>
        <w:tab/>
        <w:tab/>
        <w:tab/>
        <w:tab/>
        <w:t xml:space="preserve">      </w:t>
      </w:r>
      <w:r>
        <w:rPr/>
        <w:t xml:space="preserve">(підпис)       </w:t>
        <w:tab/>
        <w:tab/>
        <w:t>(ініціали та прізвище)</w:t>
      </w:r>
    </w:p>
    <w:p>
      <w:pPr>
        <w:pStyle w:val="Normal"/>
        <w:jc w:val="both"/>
        <w:rPr>
          <w:i/>
          <w:i/>
        </w:rPr>
      </w:pPr>
      <w:r>
        <w:rPr>
          <w:b/>
          <w:i/>
        </w:rPr>
        <w:t xml:space="preserve">Примітка </w:t>
      </w:r>
      <w:r>
        <w:rPr>
          <w:i/>
        </w:rPr>
        <w:t>– загальна</w:t>
      </w:r>
      <w:r>
        <w:rPr>
          <w:b/>
          <w:i/>
        </w:rPr>
        <w:t xml:space="preserve"> </w:t>
      </w:r>
      <w:r>
        <w:rPr>
          <w:i/>
        </w:rPr>
        <w:t xml:space="preserve">ціна тендерної пропозиції зазначається з двома знаками після коми. </w:t>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lang w:val="ru-RU"/>
        </w:rPr>
      </w:pPr>
      <w:r>
        <w:rPr>
          <w:b/>
        </w:rPr>
        <w:t xml:space="preserve">Додаток </w:t>
      </w:r>
      <w:r>
        <w:rPr>
          <w:b/>
          <w:lang w:val="ru-RU"/>
        </w:rPr>
        <w:t>4.1</w:t>
      </w:r>
    </w:p>
    <w:p>
      <w:pPr>
        <w:pStyle w:val="Normal"/>
        <w:jc w:val="right"/>
        <w:rPr>
          <w:i/>
          <w:i/>
          <w:iCs/>
          <w:sz w:val="20"/>
          <w:szCs w:val="20"/>
        </w:rPr>
      </w:pPr>
      <w:r>
        <w:rPr>
          <w:i/>
          <w:iCs/>
          <w:sz w:val="20"/>
          <w:szCs w:val="20"/>
        </w:rPr>
        <w:t>Форма «Тендерна пропозиція»</w:t>
      </w:r>
    </w:p>
    <w:p>
      <w:pPr>
        <w:pStyle w:val="Normal"/>
        <w:jc w:val="right"/>
        <w:rPr>
          <w:i/>
          <w:i/>
          <w:iCs/>
          <w:sz w:val="20"/>
          <w:szCs w:val="20"/>
        </w:rPr>
      </w:pPr>
      <w:r>
        <w:rPr>
          <w:i/>
          <w:iCs/>
          <w:sz w:val="20"/>
          <w:szCs w:val="20"/>
        </w:rPr>
        <w:t>відкоригована за результатом аукціону (у разі проведення)</w:t>
      </w:r>
    </w:p>
    <w:p>
      <w:pPr>
        <w:pStyle w:val="1"/>
        <w:spacing w:lineRule="auto" w:line="240"/>
        <w:jc w:val="center"/>
        <w:rPr>
          <w:rFonts w:ascii="Times New Roman" w:hAnsi="Times New Roman" w:cs="Times New Roman"/>
          <w:caps/>
          <w:sz w:val="24"/>
          <w:szCs w:val="24"/>
          <w:u w:val="single"/>
        </w:rPr>
      </w:pPr>
      <w:r>
        <w:rPr>
          <w:rFonts w:cs="Times New Roman" w:ascii="Times New Roman" w:hAnsi="Times New Roman"/>
          <w:caps/>
          <w:sz w:val="24"/>
          <w:szCs w:val="24"/>
          <w:u w:val="single"/>
        </w:rPr>
        <w:t xml:space="preserve"> </w:t>
      </w:r>
      <w:r>
        <w:rPr>
          <w:rFonts w:cs="Times New Roman" w:ascii="Times New Roman" w:hAnsi="Times New Roman"/>
          <w:caps/>
          <w:sz w:val="24"/>
          <w:szCs w:val="24"/>
          <w:u w:val="single"/>
        </w:rPr>
        <w:t>«тендерна пропозиція»</w:t>
      </w:r>
    </w:p>
    <w:p>
      <w:pPr>
        <w:pStyle w:val="Normal"/>
        <w:jc w:val="center"/>
        <w:rPr>
          <w:i/>
          <w:i/>
        </w:rPr>
      </w:pPr>
      <w:r>
        <w:rPr>
          <w:iCs/>
        </w:rPr>
        <w:t xml:space="preserve">        </w:t>
      </w:r>
      <w:r>
        <w:rPr>
          <w:i/>
        </w:rPr>
        <w:t>(форма подається на фірмовому бланку переможця (за наявності)</w:t>
      </w:r>
    </w:p>
    <w:p>
      <w:pPr>
        <w:pStyle w:val="Normal"/>
        <w:jc w:val="both"/>
        <w:rPr>
          <w:b/>
          <w:b/>
        </w:rPr>
      </w:pPr>
      <w:r>
        <w:rPr/>
        <w:t xml:space="preserve">        </w:t>
      </w:r>
      <w:r>
        <w:rPr/>
        <w:t>______________________________________(назва підприємства/фізичної особи), надає свою пропозицію щодо участі у закупівлі товару ______________________________________________</w:t>
      </w:r>
    </w:p>
    <w:p>
      <w:pPr>
        <w:pStyle w:val="Normal"/>
        <w:tabs>
          <w:tab w:val="clear" w:pos="720"/>
          <w:tab w:val="left" w:pos="462" w:leader="none"/>
        </w:tabs>
        <w:suppressAutoHyphens w:val="true"/>
        <w:jc w:val="both"/>
        <w:rPr>
          <w:lang w:eastAsia="zh-CN"/>
        </w:rPr>
      </w:pPr>
      <w:r>
        <w:rPr>
          <w:lang w:eastAsia="zh-CN"/>
        </w:rPr>
      </w:r>
    </w:p>
    <w:tbl>
      <w:tblPr>
        <w:tblW w:w="977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67"/>
        <w:gridCol w:w="2122"/>
        <w:gridCol w:w="1275"/>
        <w:gridCol w:w="1134"/>
        <w:gridCol w:w="1247"/>
        <w:gridCol w:w="1162"/>
        <w:gridCol w:w="1106"/>
        <w:gridCol w:w="1161"/>
      </w:tblGrid>
      <w:tr>
        <w:trPr>
          <w:trHeight w:val="675"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п/п</w:t>
            </w:r>
          </w:p>
        </w:tc>
        <w:tc>
          <w:tcPr>
            <w:tcW w:w="21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bCs/>
                <w:spacing w:val="-8"/>
              </w:rPr>
            </w:pPr>
            <w:r>
              <w:rPr>
                <w:b/>
                <w:lang w:eastAsia="zh-CN"/>
              </w:rPr>
              <w:t>Найменування товару</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bCs/>
                <w:spacing w:val="-8"/>
              </w:rPr>
            </w:pPr>
            <w:r>
              <w:rPr>
                <w:b/>
                <w:bCs/>
                <w:spacing w:val="-8"/>
              </w:rPr>
              <w:t>Кількість</w:t>
            </w:r>
          </w:p>
          <w:p>
            <w:pPr>
              <w:pStyle w:val="Normal"/>
              <w:widowControl w:val="false"/>
              <w:shd w:val="clear" w:color="auto" w:fill="FFFFFF"/>
              <w:rPr>
                <w:b/>
                <w:b/>
                <w:bCs/>
                <w:spacing w:val="-8"/>
              </w:rPr>
            </w:pPr>
            <w:r>
              <w:rPr>
                <w:b/>
                <w:bCs/>
                <w:spacing w:val="-8"/>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rPr>
                <w:b/>
                <w:b/>
                <w:bCs/>
                <w:spacing w:val="-8"/>
              </w:rPr>
            </w:pPr>
            <w:r>
              <w:rPr>
                <w:b/>
                <w:bCs/>
                <w:spacing w:val="-8"/>
              </w:rPr>
              <w:t>Од. виміру</w:t>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Ціна</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 </w:t>
            </w:r>
            <w:r>
              <w:rPr>
                <w:b/>
                <w:bCs/>
                <w:spacing w:val="-8"/>
              </w:rPr>
              <w:t>за одиницю без ПДВ (грн.)</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Ціна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за одиницю з ПДВ (грн.)</w:t>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Сума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без ПДВ (грн.)</w:t>
            </w:r>
          </w:p>
        </w:tc>
        <w:tc>
          <w:tcPr>
            <w:tcW w:w="11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 xml:space="preserve">Сума </w:t>
            </w:r>
          </w:p>
          <w:p>
            <w:pPr>
              <w:pStyle w:val="Normal"/>
              <w:keepNext w:val="true"/>
              <w:keepLines/>
              <w:widowControl w:val="false"/>
              <w:shd w:val="clear" w:color="auto" w:fill="FFFFFF"/>
              <w:tabs>
                <w:tab w:val="clear" w:pos="720"/>
                <w:tab w:val="center" w:pos="6294" w:leader="none"/>
                <w:tab w:val="center" w:pos="8038" w:leader="none"/>
                <w:tab w:val="center" w:pos="9247" w:leader="none"/>
              </w:tabs>
              <w:jc w:val="center"/>
              <w:rPr>
                <w:b/>
                <w:b/>
                <w:bCs/>
                <w:spacing w:val="-8"/>
              </w:rPr>
            </w:pPr>
            <w:r>
              <w:rPr>
                <w:b/>
                <w:bCs/>
                <w:spacing w:val="-8"/>
              </w:rPr>
              <w:t>з ПДВ (грн.)</w:t>
            </w:r>
          </w:p>
        </w:tc>
      </w:tr>
      <w:tr>
        <w:trPr>
          <w:trHeight w:val="339"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t>1…</w:t>
            </w:r>
          </w:p>
        </w:tc>
        <w:tc>
          <w:tcPr>
            <w:tcW w:w="21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b/>
                <w:b/>
              </w:rPr>
            </w:pPr>
            <w:r>
              <w:rPr>
                <w:b/>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yellow"/>
              </w:rPr>
            </w:pPr>
            <w:r>
              <w:rPr>
                <w:highlight w:val="yellow"/>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yellow"/>
              </w:rPr>
            </w:pPr>
            <w:r>
              <w:rPr>
                <w:highlight w:val="yellow"/>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b/>
                <w:b/>
              </w:rPr>
            </w:pPr>
            <w:r>
              <w:rPr/>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i/>
                <w:i/>
              </w:rPr>
            </w:pPr>
            <w:r>
              <w:rPr>
                <w:i/>
              </w:rPr>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c>
          <w:tcPr>
            <w:tcW w:w="11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r>
      <w:tr>
        <w:trPr>
          <w:trHeight w:val="339" w:hRule="atLeast"/>
          <w:cantSplit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r>
          </w:p>
        </w:tc>
        <w:tc>
          <w:tcPr>
            <w:tcW w:w="21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b/>
                <w:b/>
              </w:rPr>
            </w:pPr>
            <w:r>
              <w:rPr>
                <w:b/>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highlight w:val="yellow"/>
              </w:rPr>
            </w:pPr>
            <w:r>
              <w:rPr>
                <w:highlight w:val="yellow"/>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b/>
                <w:b/>
              </w:rPr>
            </w:pPr>
            <w:r>
              <w:rPr/>
            </w:r>
          </w:p>
        </w:tc>
        <w:tc>
          <w:tcPr>
            <w:tcW w:w="124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b/>
                <w:b/>
              </w:rPr>
            </w:pPr>
            <w:r>
              <w:rPr/>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center"/>
              <w:rPr>
                <w:i/>
                <w:i/>
              </w:rPr>
            </w:pPr>
            <w:r>
              <w:rPr>
                <w:i/>
              </w:rPr>
            </w:r>
          </w:p>
        </w:tc>
        <w:tc>
          <w:tcPr>
            <w:tcW w:w="1106"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c>
          <w:tcPr>
            <w:tcW w:w="116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i/>
                <w:i/>
              </w:rPr>
            </w:pPr>
            <w:r>
              <w:rPr>
                <w:i/>
              </w:rPr>
            </w:r>
          </w:p>
        </w:tc>
      </w:tr>
      <w:tr>
        <w:trPr>
          <w:trHeight w:val="275" w:hRule="atLeast"/>
          <w:cantSplit w:val="true"/>
        </w:trPr>
        <w:tc>
          <w:tcPr>
            <w:tcW w:w="7507"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rPr>
                <w:b/>
                <w:b/>
                <w:bCs/>
                <w:spacing w:val="-8"/>
              </w:rPr>
            </w:pPr>
            <w:r>
              <w:rPr>
                <w:b/>
                <w:bCs/>
                <w:spacing w:val="-8"/>
              </w:rPr>
              <w:t>без ПДВ (грн.)</w:t>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r>
          </w:p>
        </w:tc>
      </w:tr>
      <w:tr>
        <w:trPr>
          <w:trHeight w:val="266" w:hRule="atLeast"/>
          <w:cantSplit w:val="true"/>
        </w:trPr>
        <w:tc>
          <w:tcPr>
            <w:tcW w:w="7507"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rPr>
                <w:b/>
                <w:b/>
              </w:rPr>
            </w:pPr>
            <w:r>
              <w:rPr>
                <w:b/>
                <w:bCs/>
                <w:spacing w:val="-8"/>
              </w:rPr>
              <w:t>ПДВ (грн.)</w:t>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r>
          </w:p>
        </w:tc>
      </w:tr>
      <w:tr>
        <w:trPr>
          <w:trHeight w:val="346" w:hRule="atLeast"/>
          <w:cantSplit w:val="true"/>
        </w:trPr>
        <w:tc>
          <w:tcPr>
            <w:tcW w:w="7507" w:type="dxa"/>
            <w:gridSpan w:val="6"/>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hd w:val="clear" w:color="auto" w:fill="FFFFFF"/>
              <w:jc w:val="both"/>
              <w:rPr>
                <w:b/>
                <w:b/>
              </w:rPr>
            </w:pPr>
            <w:r>
              <w:rPr>
                <w:b/>
              </w:rPr>
              <w:t>Всього</w:t>
            </w:r>
            <w:r>
              <w:rPr>
                <w:b/>
                <w:bCs/>
                <w:spacing w:val="-8"/>
              </w:rPr>
              <w:t xml:space="preserve"> з ПДВ (грн.)</w:t>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hd w:val="clear" w:color="auto" w:fill="FFFFFF"/>
              <w:jc w:val="center"/>
              <w:rPr>
                <w:b/>
                <w:b/>
              </w:rPr>
            </w:pPr>
            <w:r>
              <w:rPr/>
            </w:r>
          </w:p>
        </w:tc>
      </w:tr>
    </w:tbl>
    <w:p>
      <w:pPr>
        <w:pStyle w:val="Normal"/>
        <w:tabs>
          <w:tab w:val="clear" w:pos="720"/>
          <w:tab w:val="left" w:pos="3885" w:leader="none"/>
        </w:tabs>
        <w:suppressAutoHyphens w:val="true"/>
        <w:jc w:val="both"/>
        <w:rPr>
          <w:highlight w:val="yellow"/>
          <w:lang w:eastAsia="zh-CN"/>
        </w:rPr>
      </w:pPr>
      <w:r>
        <w:rPr/>
        <w:t xml:space="preserve">           </w:t>
      </w:r>
      <w:r>
        <w:rPr/>
        <w:t>Надаємо свою тендерну пропозицію відкориговану за результатом аукціону щодо закупівлі</w:t>
      </w:r>
      <w:r>
        <w:rPr>
          <w:b/>
        </w:rPr>
        <w:t>,</w:t>
      </w:r>
      <w:r>
        <w:rPr/>
        <w:t xml:space="preserve"> </w:t>
      </w:r>
      <w:r>
        <w:rPr>
          <w:b/>
        </w:rPr>
        <w:t xml:space="preserve">______________ (код ДК 021:2015: __________________) </w:t>
      </w:r>
      <w:r>
        <w:rPr/>
        <w:t xml:space="preserve">на загальну суму ___________ грн. з ПДВ / без ПДВ (зазначається переможцем) </w:t>
      </w:r>
    </w:p>
    <w:p>
      <w:pPr>
        <w:pStyle w:val="Normal"/>
        <w:rPr>
          <w:b/>
          <w:b/>
        </w:rPr>
      </w:pPr>
      <w:r>
        <w:rPr/>
      </w:r>
    </w:p>
    <w:p>
      <w:pPr>
        <w:pStyle w:val="Normal"/>
        <w:rPr>
          <w:b/>
          <w:b/>
        </w:rPr>
      </w:pPr>
      <w:r>
        <w:rPr/>
        <w:t>Керівник (або Уповноважена особа)          ____________</w:t>
        <w:tab/>
        <w:tab/>
        <w:t>___________________________</w:t>
      </w:r>
    </w:p>
    <w:p>
      <w:pPr>
        <w:pStyle w:val="Normal"/>
        <w:jc w:val="both"/>
        <w:rPr>
          <w:b/>
          <w:b/>
        </w:rPr>
      </w:pPr>
      <w:r>
        <w:rPr>
          <w:b/>
        </w:rPr>
        <w:t xml:space="preserve">   </w:t>
      </w:r>
      <w:r>
        <w:rPr>
          <w:b/>
        </w:rPr>
        <w:tab/>
        <w:tab/>
        <w:tab/>
        <w:tab/>
        <w:tab/>
        <w:tab/>
        <w:t xml:space="preserve">      </w:t>
      </w:r>
      <w:r>
        <w:rPr/>
        <w:t xml:space="preserve">(підпис)       </w:t>
        <w:tab/>
        <w:tab/>
        <w:t>(ініціали та прізвище)</w:t>
      </w:r>
    </w:p>
    <w:p>
      <w:pPr>
        <w:pStyle w:val="Normal"/>
        <w:jc w:val="both"/>
        <w:rPr>
          <w:i/>
          <w:i/>
        </w:rPr>
      </w:pPr>
      <w:r>
        <w:rPr>
          <w:b/>
          <w:i/>
        </w:rPr>
        <w:t xml:space="preserve">Примітка </w:t>
      </w:r>
      <w:r>
        <w:rPr>
          <w:i/>
        </w:rPr>
        <w:t>– загальна</w:t>
      </w:r>
      <w:r>
        <w:rPr>
          <w:b/>
          <w:i/>
        </w:rPr>
        <w:t xml:space="preserve"> </w:t>
      </w:r>
      <w:r>
        <w:rPr>
          <w:i/>
        </w:rPr>
        <w:t xml:space="preserve">ціна тендерної пропозиції зазначається з двома знаками після коми. </w:t>
      </w:r>
    </w:p>
    <w:p>
      <w:pPr>
        <w:pStyle w:val="Normal"/>
        <w:jc w:val="both"/>
        <w:rPr>
          <w:i/>
          <w:i/>
        </w:rPr>
      </w:pPr>
      <w:r>
        <w:rPr/>
      </w:r>
    </w:p>
    <w:sectPr>
      <w:headerReference w:type="first" r:id="rId5"/>
      <w:footerReference w:type="default" r:id="rId6"/>
      <w:footerReference w:type="first" r:id="rId7"/>
      <w:type w:val="nextPage"/>
      <w:pgSz w:w="11906" w:h="16838"/>
      <w:pgMar w:left="1134" w:right="707" w:gutter="0" w:header="708" w:top="850" w:footer="708" w:bottom="765"/>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swiss"/>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default"/>
  </w:font>
  <w:font w:name="Wingdings">
    <w:charset w:val="02"/>
    <w:family w:val="auto"/>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643"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decimal"/>
      <w:lvlText w:val="%1."/>
      <w:lvlJc w:val="left"/>
      <w:pPr>
        <w:tabs>
          <w:tab w:val="num" w:pos="720"/>
        </w:tabs>
        <w:ind w:left="720" w:hanging="360"/>
      </w:pPr>
      <w:rPr>
        <w:sz w:val="24"/>
        <w:szCs w:val="24"/>
        <w:rFonts w:ascii="Times New Roman" w:hAnsi="Times New Roman"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0"/>
        </w:tabs>
        <w:ind w:left="552" w:hanging="240"/>
      </w:pPr>
      <w:rPr>
        <w:sz w:val="24"/>
        <w:szCs w:val="24"/>
        <w:rFonts w:ascii="Times New Roman" w:hAnsi="Times New Roman" w:eastAsia="Times New Roman" w:cs="Times New Roman"/>
      </w:rPr>
    </w:lvl>
    <w:lvl w:ilvl="1">
      <w:start w:val="1"/>
      <w:numFmt w:val="decimal"/>
      <w:lvlText w:val="%2."/>
      <w:lvlJc w:val="left"/>
      <w:pPr>
        <w:tabs>
          <w:tab w:val="num" w:pos="0"/>
        </w:tabs>
        <w:ind w:left="312" w:hanging="322"/>
      </w:pPr>
      <w:rPr>
        <w:sz w:val="24"/>
        <w:szCs w:val="24"/>
        <w:rFonts w:ascii="Times New Roman" w:hAnsi="Times New Roman" w:eastAsia="Times New Roman" w:cs="Times New Roman"/>
      </w:rPr>
    </w:lvl>
    <w:lvl w:ilvl="2">
      <w:start w:val="1"/>
      <w:numFmt w:val="decimal"/>
      <w:lvlText w:val="%3."/>
      <w:lvlJc w:val="left"/>
      <w:pPr>
        <w:tabs>
          <w:tab w:val="num" w:pos="0"/>
        </w:tabs>
        <w:ind w:left="4749" w:hanging="240"/>
      </w:pPr>
      <w:rPr>
        <w:sz w:val="24"/>
        <w:b/>
        <w:szCs w:val="24"/>
        <w:rFonts w:ascii="Times New Roman" w:hAnsi="Times New Roman" w:eastAsia="Times New Roman" w:cs="Times New Roman"/>
      </w:rPr>
    </w:lvl>
    <w:lvl w:ilvl="3">
      <w:start w:val="1"/>
      <w:numFmt w:val="bullet"/>
      <w:lvlText w:val=""/>
      <w:lvlJc w:val="left"/>
      <w:pPr>
        <w:tabs>
          <w:tab w:val="num" w:pos="0"/>
        </w:tabs>
        <w:ind w:left="5495" w:hanging="240"/>
      </w:pPr>
      <w:rPr>
        <w:rFonts w:ascii="Symbol" w:hAnsi="Symbol" w:cs="Symbol" w:hint="default"/>
      </w:rPr>
    </w:lvl>
    <w:lvl w:ilvl="4">
      <w:start w:val="1"/>
      <w:numFmt w:val="bullet"/>
      <w:lvlText w:val=""/>
      <w:lvlJc w:val="left"/>
      <w:pPr>
        <w:tabs>
          <w:tab w:val="num" w:pos="0"/>
        </w:tabs>
        <w:ind w:left="6251" w:hanging="240"/>
      </w:pPr>
      <w:rPr>
        <w:rFonts w:ascii="Symbol" w:hAnsi="Symbol" w:cs="Symbol" w:hint="default"/>
      </w:rPr>
    </w:lvl>
    <w:lvl w:ilvl="5">
      <w:start w:val="1"/>
      <w:numFmt w:val="bullet"/>
      <w:lvlText w:val=""/>
      <w:lvlJc w:val="left"/>
      <w:pPr>
        <w:tabs>
          <w:tab w:val="num" w:pos="0"/>
        </w:tabs>
        <w:ind w:left="7006" w:hanging="240"/>
      </w:pPr>
      <w:rPr>
        <w:rFonts w:ascii="Symbol" w:hAnsi="Symbol" w:cs="Symbol" w:hint="default"/>
      </w:rPr>
    </w:lvl>
    <w:lvl w:ilvl="6">
      <w:start w:val="1"/>
      <w:numFmt w:val="bullet"/>
      <w:lvlText w:val=""/>
      <w:lvlJc w:val="left"/>
      <w:pPr>
        <w:tabs>
          <w:tab w:val="num" w:pos="0"/>
        </w:tabs>
        <w:ind w:left="7762" w:hanging="240"/>
      </w:pPr>
      <w:rPr>
        <w:rFonts w:ascii="Symbol" w:hAnsi="Symbol" w:cs="Symbol" w:hint="default"/>
      </w:rPr>
    </w:lvl>
    <w:lvl w:ilvl="7">
      <w:start w:val="1"/>
      <w:numFmt w:val="bullet"/>
      <w:lvlText w:val=""/>
      <w:lvlJc w:val="left"/>
      <w:pPr>
        <w:tabs>
          <w:tab w:val="num" w:pos="0"/>
        </w:tabs>
        <w:ind w:left="8517" w:hanging="240"/>
      </w:pPr>
      <w:rPr>
        <w:rFonts w:ascii="Symbol" w:hAnsi="Symbol" w:cs="Symbol" w:hint="default"/>
      </w:rPr>
    </w:lvl>
    <w:lvl w:ilvl="8">
      <w:start w:val="1"/>
      <w:numFmt w:val="bullet"/>
      <w:lvlText w:val=""/>
      <w:lvlJc w:val="left"/>
      <w:pPr>
        <w:tabs>
          <w:tab w:val="num" w:pos="0"/>
        </w:tabs>
        <w:ind w:left="9273" w:hanging="240"/>
      </w:pPr>
      <w:rPr>
        <w:rFonts w:ascii="Symbol" w:hAnsi="Symbol" w:cs="Symbol" w:hint="default"/>
      </w:rPr>
    </w:lvl>
  </w:abstractNum>
  <w:abstractNum w:abstractNumId="12">
    <w:lvl w:ilvl="0">
      <w:start w:val="1"/>
      <w:numFmt w:val="decimal"/>
      <w:lvlText w:val="%1."/>
      <w:lvlJc w:val="left"/>
      <w:pPr>
        <w:tabs>
          <w:tab w:val="num" w:pos="0"/>
        </w:tabs>
        <w:ind w:left="928"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928" w:hanging="360"/>
      </w:p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4"/>
    <w:lvlOverride w:ilvl="0">
      <w:startOverride w:val="1"/>
    </w:lvlOverride>
  </w:num>
</w:numbering>
</file>

<file path=word/settings.xml><?xml version="1.0" encoding="utf-8"?>
<w:settings xmlns:w="http://schemas.openxmlformats.org/wordprocessingml/2006/main">
  <w:zoom w:percent="13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2191"/>
    <w:pPr>
      <w:widowControl/>
      <w:bidi w:val="0"/>
      <w:spacing w:lineRule="auto" w:line="240" w:before="0" w:after="0"/>
      <w:jc w:val="left"/>
    </w:pPr>
    <w:rPr>
      <w:rFonts w:ascii="Times New Roman" w:hAnsi="Times New Roman" w:eastAsia="Times New Roman" w:cs="Times New Roman"/>
      <w:color w:val="auto"/>
      <w:kern w:val="0"/>
      <w:sz w:val="24"/>
      <w:szCs w:val="24"/>
      <w:lang w:eastAsia="ru-RU" w:val="uk-UA" w:bidi="ar-SA"/>
    </w:rPr>
  </w:style>
  <w:style w:type="paragraph" w:styleId="1">
    <w:name w:val="Heading 1"/>
    <w:basedOn w:val="Normal"/>
    <w:next w:val="Normal"/>
    <w:link w:val="10"/>
    <w:uiPriority w:val="9"/>
    <w:qFormat/>
    <w:rsid w:val="00924d48"/>
    <w:pPr>
      <w:keepNext w:val="true"/>
      <w:keepLines/>
      <w:spacing w:lineRule="auto" w:line="259" w:before="480" w:after="120"/>
      <w:outlineLvl w:val="0"/>
    </w:pPr>
    <w:rPr>
      <w:rFonts w:ascii="Calibri" w:hAnsi="Calibri" w:eastAsia="Calibri" w:cs="Calibri"/>
      <w:b/>
      <w:sz w:val="48"/>
      <w:szCs w:val="48"/>
      <w:lang w:eastAsia="uk-UA"/>
    </w:rPr>
  </w:style>
  <w:style w:type="paragraph" w:styleId="2">
    <w:name w:val="Heading 2"/>
    <w:basedOn w:val="Normal"/>
    <w:next w:val="Normal"/>
    <w:uiPriority w:val="9"/>
    <w:semiHidden/>
    <w:unhideWhenUsed/>
    <w:qFormat/>
    <w:rsid w:val="00924d48"/>
    <w:pPr>
      <w:keepNext w:val="true"/>
      <w:keepLines/>
      <w:spacing w:lineRule="auto" w:line="259" w:before="360" w:after="80"/>
      <w:outlineLvl w:val="1"/>
    </w:pPr>
    <w:rPr>
      <w:rFonts w:ascii="Calibri" w:hAnsi="Calibri" w:eastAsia="Calibri" w:cs="Calibri"/>
      <w:b/>
      <w:sz w:val="36"/>
      <w:szCs w:val="36"/>
      <w:lang w:eastAsia="uk-UA"/>
    </w:rPr>
  </w:style>
  <w:style w:type="paragraph" w:styleId="3">
    <w:name w:val="Heading 3"/>
    <w:basedOn w:val="Normal"/>
    <w:next w:val="Normal"/>
    <w:uiPriority w:val="9"/>
    <w:semiHidden/>
    <w:unhideWhenUsed/>
    <w:qFormat/>
    <w:rsid w:val="00924d48"/>
    <w:pPr>
      <w:keepNext w:val="true"/>
      <w:keepLines/>
      <w:spacing w:lineRule="auto" w:line="259" w:before="280" w:after="80"/>
      <w:outlineLvl w:val="2"/>
    </w:pPr>
    <w:rPr>
      <w:rFonts w:ascii="Calibri" w:hAnsi="Calibri" w:eastAsia="Calibri" w:cs="Calibri"/>
      <w:b/>
      <w:sz w:val="28"/>
      <w:szCs w:val="28"/>
      <w:lang w:eastAsia="uk-UA"/>
    </w:rPr>
  </w:style>
  <w:style w:type="paragraph" w:styleId="4">
    <w:name w:val="Heading 4"/>
    <w:basedOn w:val="Normal"/>
    <w:next w:val="Normal"/>
    <w:uiPriority w:val="9"/>
    <w:semiHidden/>
    <w:unhideWhenUsed/>
    <w:qFormat/>
    <w:rsid w:val="00924d48"/>
    <w:pPr>
      <w:keepNext w:val="true"/>
      <w:keepLines/>
      <w:spacing w:lineRule="auto" w:line="259" w:before="240" w:after="40"/>
      <w:outlineLvl w:val="3"/>
    </w:pPr>
    <w:rPr>
      <w:rFonts w:ascii="Calibri" w:hAnsi="Calibri" w:eastAsia="Calibri" w:cs="Calibri"/>
      <w:b/>
      <w:lang w:eastAsia="uk-UA"/>
    </w:rPr>
  </w:style>
  <w:style w:type="paragraph" w:styleId="5">
    <w:name w:val="Heading 5"/>
    <w:basedOn w:val="Normal"/>
    <w:next w:val="Normal"/>
    <w:uiPriority w:val="9"/>
    <w:semiHidden/>
    <w:unhideWhenUsed/>
    <w:qFormat/>
    <w:rsid w:val="00924d48"/>
    <w:pPr>
      <w:keepNext w:val="true"/>
      <w:keepLines/>
      <w:spacing w:lineRule="auto" w:line="259" w:before="220" w:after="40"/>
      <w:outlineLvl w:val="4"/>
    </w:pPr>
    <w:rPr>
      <w:rFonts w:ascii="Calibri" w:hAnsi="Calibri" w:eastAsia="Calibri" w:cs="Calibri"/>
      <w:b/>
      <w:sz w:val="22"/>
      <w:szCs w:val="22"/>
      <w:lang w:eastAsia="uk-UA"/>
    </w:rPr>
  </w:style>
  <w:style w:type="paragraph" w:styleId="6">
    <w:name w:val="Heading 6"/>
    <w:basedOn w:val="Normal"/>
    <w:next w:val="Normal"/>
    <w:uiPriority w:val="9"/>
    <w:semiHidden/>
    <w:unhideWhenUsed/>
    <w:qFormat/>
    <w:rsid w:val="00924d48"/>
    <w:pPr>
      <w:keepNext w:val="true"/>
      <w:keepLines/>
      <w:spacing w:lineRule="auto" w:line="259" w:before="200" w:after="40"/>
      <w:outlineLvl w:val="5"/>
    </w:pPr>
    <w:rPr>
      <w:rFonts w:ascii="Calibri" w:hAnsi="Calibri" w:eastAsia="Calibri" w:cs="Calibri"/>
      <w:b/>
      <w:sz w:val="20"/>
      <w:szCs w:val="20"/>
      <w:lang w:eastAsia="uk-UA"/>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8"/>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3"/>
    <w:uiPriority w:val="99"/>
    <w:semiHidden/>
    <w:qFormat/>
    <w:rsid w:val="003f0eb8"/>
    <w:rPr>
      <w:sz w:val="20"/>
      <w:szCs w:val="20"/>
    </w:rPr>
  </w:style>
  <w:style w:type="character" w:styleId="Style11" w:customStyle="1">
    <w:name w:val="Тема примечания Знак"/>
    <w:basedOn w:val="Style10"/>
    <w:link w:val="af5"/>
    <w:uiPriority w:val="99"/>
    <w:semiHidden/>
    <w:qFormat/>
    <w:rsid w:val="003f0eb8"/>
    <w:rPr>
      <w:b/>
      <w:bCs/>
      <w:sz w:val="20"/>
      <w:szCs w:val="20"/>
    </w:rPr>
  </w:style>
  <w:style w:type="character" w:styleId="Style12" w:customStyle="1">
    <w:name w:val="Без интервала Знак"/>
    <w:link w:val="af8"/>
    <w:uiPriority w:val="99"/>
    <w:qFormat/>
    <w:locked/>
    <w:rsid w:val="00ad5dd1"/>
    <w:rPr>
      <w:rFonts w:eastAsia="Tahoma" w:cs="Times New Roman"/>
      <w:color w:val="00000A"/>
      <w:lang w:eastAsia="en-US"/>
    </w:rPr>
  </w:style>
  <w:style w:type="character" w:styleId="12" w:customStyle="1">
    <w:name w:val="Заголовок 1 Знак"/>
    <w:basedOn w:val="DefaultParagraphFont"/>
    <w:link w:val="1"/>
    <w:uiPriority w:val="9"/>
    <w:qFormat/>
    <w:rsid w:val="00810deb"/>
    <w:rPr>
      <w:b/>
      <w:sz w:val="48"/>
      <w:szCs w:val="48"/>
    </w:rPr>
  </w:style>
  <w:style w:type="character" w:styleId="HTML" w:customStyle="1">
    <w:name w:val="Стандартный HTML Знак"/>
    <w:basedOn w:val="DefaultParagraphFont"/>
    <w:link w:val="HTML"/>
    <w:qFormat/>
    <w:rsid w:val="00810deb"/>
    <w:rPr>
      <w:rFonts w:ascii="Courier New" w:hAnsi="Courier New" w:eastAsia="Times New Roman" w:cs="Times New Roman"/>
      <w:color w:val="000000"/>
      <w:sz w:val="18"/>
      <w:szCs w:val="18"/>
      <w:lang w:val="ru-RU" w:eastAsia="ru-RU"/>
    </w:rPr>
  </w:style>
  <w:style w:type="character" w:styleId="Style13" w:customStyle="1">
    <w:name w:val="Основной текст Знак"/>
    <w:basedOn w:val="DefaultParagraphFont"/>
    <w:link w:val="afa"/>
    <w:semiHidden/>
    <w:qFormat/>
    <w:rsid w:val="00810deb"/>
    <w:rPr>
      <w:rFonts w:ascii="Times New Roman" w:hAnsi="Times New Roman" w:eastAsia="Times New Roman" w:cs="Times New Roman"/>
      <w:sz w:val="20"/>
      <w:szCs w:val="20"/>
      <w:lang w:val="ru-RU" w:eastAsia="ru-RU"/>
    </w:rPr>
  </w:style>
  <w:style w:type="character" w:styleId="31" w:customStyle="1">
    <w:name w:val="Основной текст (3)"/>
    <w:qFormat/>
    <w:rsid w:val="00810deb"/>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uk-UA" w:eastAsia="uk-UA" w:bidi="uk-UA"/>
    </w:rPr>
  </w:style>
  <w:style w:type="character" w:styleId="13" w:customStyle="1">
    <w:name w:val="Заголовок №1"/>
    <w:qFormat/>
    <w:rsid w:val="00810deb"/>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uk-UA" w:eastAsia="uk-UA" w:bidi="uk-UA"/>
    </w:rPr>
  </w:style>
  <w:style w:type="character" w:styleId="21" w:customStyle="1">
    <w:name w:val="Основной текст (2)"/>
    <w:qFormat/>
    <w:rsid w:val="00810deb"/>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uk-UA" w:eastAsia="uk-UA" w:bidi="uk-UA"/>
    </w:rPr>
  </w:style>
  <w:style w:type="character" w:styleId="22" w:customStyle="1">
    <w:name w:val="Основной текст (2) + Курсив"/>
    <w:qFormat/>
    <w:rsid w:val="00810deb"/>
    <w:rPr>
      <w:rFonts w:ascii="Times New Roman" w:hAnsi="Times New Roman" w:eastAsia="Times New Roman" w:cs="Times New Roman"/>
      <w:b w:val="false"/>
      <w:bCs w:val="false"/>
      <w:i/>
      <w:iCs/>
      <w:caps w:val="false"/>
      <w:smallCaps w:val="false"/>
      <w:strike w:val="false"/>
      <w:dstrike w:val="false"/>
      <w:color w:val="000000"/>
      <w:spacing w:val="0"/>
      <w:w w:val="100"/>
      <w:sz w:val="22"/>
      <w:szCs w:val="22"/>
      <w:u w:val="none"/>
      <w:lang w:val="uk-UA" w:eastAsia="uk-UA" w:bidi="uk-UA"/>
    </w:rPr>
  </w:style>
  <w:style w:type="character" w:styleId="Style14" w:customStyle="1">
    <w:name w:val="Обычный (Интернет) Знак"/>
    <w:link w:val="aa"/>
    <w:qFormat/>
    <w:locked/>
    <w:rsid w:val="00810deb"/>
    <w:rPr>
      <w:rFonts w:ascii="Times New Roman" w:hAnsi="Times New Roman" w:eastAsia="Times New Roman" w:cs="Times New Roman"/>
      <w:sz w:val="24"/>
      <w:szCs w:val="24"/>
    </w:rPr>
  </w:style>
  <w:style w:type="character" w:styleId="Strong">
    <w:name w:val="Strong"/>
    <w:uiPriority w:val="22"/>
    <w:qFormat/>
    <w:rsid w:val="00161754"/>
    <w:rPr>
      <w:rFonts w:ascii="Times New Roman" w:hAnsi="Times New Roman" w:cs="Times New Roman"/>
      <w:b/>
      <w:bCs w:val="false"/>
    </w:rPr>
  </w:style>
  <w:style w:type="character" w:styleId="ListParagraphChar" w:customStyle="1">
    <w:name w:val="List Paragraph Char"/>
    <w:link w:val="14"/>
    <w:qFormat/>
    <w:locked/>
    <w:rsid w:val="00fd7872"/>
    <w:rPr>
      <w:rFonts w:eastAsia="Times New Roman" w:cs="Times New Roman"/>
      <w:lang w:val="ru-RU" w:eastAsia="en-US"/>
    </w:rPr>
  </w:style>
  <w:style w:type="character" w:styleId="Style15" w:customStyle="1">
    <w:name w:val="Абзац списка Знак"/>
    <w:link w:val="a5"/>
    <w:qFormat/>
    <w:locked/>
    <w:rsid w:val="00fd7872"/>
    <w:rPr/>
  </w:style>
  <w:style w:type="character" w:styleId="Style16" w:customStyle="1">
    <w:name w:val="Основной текст с отступом Знак"/>
    <w:basedOn w:val="DefaultParagraphFont"/>
    <w:link w:val="afd"/>
    <w:uiPriority w:val="99"/>
    <w:semiHidden/>
    <w:qFormat/>
    <w:rsid w:val="00fd7872"/>
    <w:rPr>
      <w:rFonts w:ascii="Times New Roman" w:hAnsi="Times New Roman" w:eastAsia="Times New Roman" w:cs="Times New Roman"/>
      <w:sz w:val="24"/>
      <w:szCs w:val="24"/>
      <w:lang w:eastAsia="ru-RU"/>
    </w:rPr>
  </w:style>
  <w:style w:type="character" w:styleId="Style17">
    <w:name w:val="Выделение"/>
    <w:qFormat/>
    <w:rsid w:val="00fd7872"/>
    <w:rPr>
      <w:i/>
      <w:iCs/>
    </w:rPr>
  </w:style>
  <w:style w:type="character" w:styleId="Appleconvertedspace" w:customStyle="1">
    <w:name w:val="apple-converted-space"/>
    <w:basedOn w:val="DefaultParagraphFont"/>
    <w:qFormat/>
    <w:rsid w:val="002d7575"/>
    <w:rPr/>
  </w:style>
  <w:style w:type="character" w:styleId="UnresolvedMention">
    <w:name w:val="Unresolved Mention"/>
    <w:basedOn w:val="DefaultParagraphFont"/>
    <w:uiPriority w:val="99"/>
    <w:semiHidden/>
    <w:unhideWhenUsed/>
    <w:qFormat/>
    <w:rsid w:val="00fd0a26"/>
    <w:rPr>
      <w:color w:val="605E5C"/>
      <w:shd w:fill="E1DFDD" w:val="clear"/>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fb"/>
    <w:semiHidden/>
    <w:unhideWhenUsed/>
    <w:rsid w:val="00810deb"/>
    <w:pPr>
      <w:widowControl w:val="false"/>
      <w:spacing w:before="0" w:after="120"/>
    </w:pPr>
    <w:rPr>
      <w:sz w:val="20"/>
      <w:szCs w:val="20"/>
      <w:lang w:val="ru-RU"/>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Style23">
    <w:name w:val="Title"/>
    <w:basedOn w:val="Normal"/>
    <w:next w:val="Normal"/>
    <w:uiPriority w:val="10"/>
    <w:qFormat/>
    <w:rsid w:val="00924d48"/>
    <w:pPr>
      <w:keepNext w:val="true"/>
      <w:keepLines/>
      <w:spacing w:lineRule="auto" w:line="259" w:before="480" w:after="120"/>
    </w:pPr>
    <w:rPr>
      <w:rFonts w:ascii="Calibri" w:hAnsi="Calibri" w:eastAsia="Calibri" w:cs="Calibri"/>
      <w:b/>
      <w:sz w:val="72"/>
      <w:szCs w:val="72"/>
      <w:lang w:eastAsia="uk-UA"/>
    </w:rPr>
  </w:style>
  <w:style w:type="paragraph" w:styleId="ListParagraph">
    <w:name w:val="List Paragraph"/>
    <w:basedOn w:val="Normal"/>
    <w:link w:val="a6"/>
    <w:qFormat/>
    <w:rsid w:val="00cd4e1f"/>
    <w:pPr>
      <w:spacing w:lineRule="auto" w:line="259" w:before="0" w:after="160"/>
      <w:ind w:left="720" w:hanging="0"/>
      <w:contextualSpacing/>
    </w:pPr>
    <w:rPr>
      <w:rFonts w:ascii="Calibri" w:hAnsi="Calibri" w:eastAsia="Calibri" w:cs="Calibri"/>
      <w:sz w:val="22"/>
      <w:szCs w:val="22"/>
      <w:lang w:eastAsia="uk-UA"/>
    </w:rPr>
  </w:style>
  <w:style w:type="paragraph" w:styleId="BalloonText">
    <w:name w:val="Balloon Text"/>
    <w:basedOn w:val="Normal"/>
    <w:link w:val="a9"/>
    <w:uiPriority w:val="99"/>
    <w:semiHidden/>
    <w:unhideWhenUsed/>
    <w:qFormat/>
    <w:rsid w:val="009f5cf2"/>
    <w:pPr/>
    <w:rPr>
      <w:rFonts w:ascii="Segoe UI" w:hAnsi="Segoe UI" w:eastAsia="Calibri" w:cs="Segoe UI"/>
      <w:sz w:val="18"/>
      <w:szCs w:val="18"/>
      <w:lang w:eastAsia="uk-UA"/>
    </w:rPr>
  </w:style>
  <w:style w:type="paragraph" w:styleId="NormalWeb">
    <w:name w:val="Normal (Web)"/>
    <w:basedOn w:val="Normal"/>
    <w:link w:val="ab"/>
    <w:qFormat/>
    <w:rsid w:val="00271708"/>
    <w:pPr>
      <w:spacing w:beforeAutospacing="1" w:afterAutospacing="1"/>
    </w:pPr>
    <w:rPr>
      <w:lang w:eastAsia="uk-UA"/>
    </w:rPr>
  </w:style>
  <w:style w:type="paragraph" w:styleId="Tj" w:customStyle="1">
    <w:name w:val="tj"/>
    <w:basedOn w:val="Normal"/>
    <w:qFormat/>
    <w:rsid w:val="00711376"/>
    <w:pPr>
      <w:spacing w:beforeAutospacing="1" w:afterAutospacing="1"/>
    </w:pPr>
    <w:rPr>
      <w:lang w:eastAsia="uk-UA"/>
    </w:rPr>
  </w:style>
  <w:style w:type="paragraph" w:styleId="Rvps2" w:customStyle="1">
    <w:name w:val="rvps2"/>
    <w:basedOn w:val="Normal"/>
    <w:qFormat/>
    <w:rsid w:val="00b777c4"/>
    <w:pPr>
      <w:spacing w:beforeAutospacing="1" w:afterAutospacing="1"/>
    </w:pPr>
    <w:rPr>
      <w:lang w:eastAsia="uk-UA"/>
    </w:rPr>
  </w:style>
  <w:style w:type="paragraph" w:styleId="Style24">
    <w:name w:val="Subtitle"/>
    <w:basedOn w:val="Normal"/>
    <w:next w:val="Normal"/>
    <w:qFormat/>
    <w:rsid w:val="00924d48"/>
    <w:pPr>
      <w:keepNext w:val="true"/>
      <w:keepLines/>
      <w:pBdr/>
      <w:spacing w:lineRule="auto" w:line="259" w:before="360" w:after="80"/>
    </w:pPr>
    <w:rPr>
      <w:rFonts w:ascii="Georgia" w:hAnsi="Georgia" w:eastAsia="Georgia" w:cs="Georgia"/>
      <w:i/>
      <w:color w:val="666666"/>
      <w:sz w:val="48"/>
      <w:szCs w:val="48"/>
      <w:lang w:eastAsia="uk-UA"/>
    </w:rPr>
  </w:style>
  <w:style w:type="paragraph" w:styleId="Style25" w:customStyle="1">
    <w:name w:val="Нормальний текст"/>
    <w:basedOn w:val="Normal"/>
    <w:qFormat/>
    <w:rsid w:val="0097339b"/>
    <w:pPr>
      <w:spacing w:before="120" w:after="0"/>
      <w:ind w:firstLine="567"/>
    </w:pPr>
    <w:rPr>
      <w:rFonts w:ascii="Antiqua" w:hAnsi="Antiqua"/>
      <w:sz w:val="26"/>
      <w:szCs w:val="20"/>
      <w:lang w:eastAsia="uk-UA"/>
    </w:rPr>
  </w:style>
  <w:style w:type="paragraph" w:styleId="Annotationtext">
    <w:name w:val="annotation text"/>
    <w:basedOn w:val="Normal"/>
    <w:link w:val="af4"/>
    <w:uiPriority w:val="99"/>
    <w:semiHidden/>
    <w:unhideWhenUsed/>
    <w:qFormat/>
    <w:rsid w:val="003f0eb8"/>
    <w:pPr>
      <w:spacing w:before="0" w:after="160"/>
    </w:pPr>
    <w:rPr>
      <w:rFonts w:ascii="Calibri" w:hAnsi="Calibri" w:eastAsia="Calibri" w:cs="Calibri"/>
      <w:sz w:val="20"/>
      <w:szCs w:val="20"/>
      <w:lang w:eastAsia="uk-UA"/>
    </w:rPr>
  </w:style>
  <w:style w:type="paragraph" w:styleId="Annotationsubject">
    <w:name w:val="annotation subject"/>
    <w:basedOn w:val="Annotationtext"/>
    <w:next w:val="Annotationtext"/>
    <w:link w:val="af6"/>
    <w:uiPriority w:val="99"/>
    <w:semiHidden/>
    <w:unhideWhenUsed/>
    <w:qFormat/>
    <w:rsid w:val="003f0eb8"/>
    <w:pPr/>
    <w:rPr>
      <w:b/>
      <w:bCs/>
    </w:rPr>
  </w:style>
  <w:style w:type="paragraph" w:styleId="NoSpacing">
    <w:name w:val="No Spacing"/>
    <w:link w:val="af9"/>
    <w:uiPriority w:val="1"/>
    <w:qFormat/>
    <w:rsid w:val="00ad5dd1"/>
    <w:pPr>
      <w:widowControl/>
      <w:bidi w:val="0"/>
      <w:spacing w:lineRule="auto" w:line="240" w:before="0" w:after="0"/>
      <w:jc w:val="left"/>
    </w:pPr>
    <w:rPr>
      <w:rFonts w:eastAsia="Tahoma" w:cs="Times New Roman" w:ascii="Calibri" w:hAnsi="Calibri"/>
      <w:color w:val="00000A"/>
      <w:kern w:val="0"/>
      <w:sz w:val="22"/>
      <w:szCs w:val="22"/>
      <w:lang w:eastAsia="en-US" w:val="uk-UA" w:bidi="ar-SA"/>
    </w:rPr>
  </w:style>
  <w:style w:type="paragraph" w:styleId="HTMLPreformatted">
    <w:name w:val="HTML Preformatted"/>
    <w:basedOn w:val="Normal"/>
    <w:link w:val="HTML0"/>
    <w:qFormat/>
    <w:rsid w:val="00810deb"/>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lang w:val="ru-RU"/>
    </w:rPr>
  </w:style>
  <w:style w:type="paragraph" w:styleId="14" w:customStyle="1">
    <w:name w:val="Обычный (веб)1"/>
    <w:qFormat/>
    <w:rsid w:val="0099415c"/>
    <w:pPr>
      <w:widowControl/>
      <w:suppressAutoHyphens w:val="true"/>
      <w:overflowPunct w:val="true"/>
      <w:bidi w:val="0"/>
      <w:spacing w:lineRule="auto" w:line="240" w:before="0" w:after="0"/>
      <w:contextualSpacing/>
      <w:jc w:val="left"/>
    </w:pPr>
    <w:rPr>
      <w:rFonts w:cs="font228" w:ascii="Calibri" w:hAnsi="Calibri" w:eastAsia="Calibri"/>
      <w:color w:val="auto"/>
      <w:kern w:val="0"/>
      <w:sz w:val="24"/>
      <w:szCs w:val="24"/>
      <w:lang w:val="ru-RU" w:eastAsia="ru-RU" w:bidi="ar-SA"/>
    </w:rPr>
  </w:style>
  <w:style w:type="paragraph" w:styleId="Docdata" w:customStyle="1">
    <w:name w:val="docdata"/>
    <w:basedOn w:val="Normal"/>
    <w:qFormat/>
    <w:rsid w:val="005678f2"/>
    <w:pPr>
      <w:spacing w:beforeAutospacing="1" w:afterAutospacing="1"/>
    </w:pPr>
    <w:rPr>
      <w:lang w:eastAsia="uk-UA"/>
    </w:rPr>
  </w:style>
  <w:style w:type="paragraph" w:styleId="Just" w:customStyle="1">
    <w:name w:val="Just"/>
    <w:qFormat/>
    <w:rsid w:val="00266a40"/>
    <w:pPr>
      <w:widowControl/>
      <w:suppressAutoHyphens w:val="true"/>
      <w:bidi w:val="0"/>
      <w:spacing w:lineRule="auto" w:line="240" w:before="40" w:after="40"/>
      <w:ind w:firstLine="568"/>
      <w:jc w:val="both"/>
    </w:pPr>
    <w:rPr>
      <w:rFonts w:ascii="Times New Roman" w:hAnsi="Times New Roman" w:eastAsia="Times New Roman" w:cs="Calibri"/>
      <w:color w:val="auto"/>
      <w:kern w:val="0"/>
      <w:sz w:val="24"/>
      <w:szCs w:val="24"/>
      <w:lang w:val="ru-RU" w:eastAsia="ar-SA" w:bidi="ar-SA"/>
    </w:rPr>
  </w:style>
  <w:style w:type="paragraph" w:styleId="15" w:customStyle="1">
    <w:name w:val="Абзац списка1"/>
    <w:basedOn w:val="Normal"/>
    <w:link w:val="ListParagraphChar"/>
    <w:qFormat/>
    <w:rsid w:val="00fd7872"/>
    <w:pPr>
      <w:spacing w:lineRule="auto" w:line="259" w:before="0" w:after="160"/>
      <w:ind w:left="720" w:hanging="0"/>
    </w:pPr>
    <w:rPr>
      <w:rFonts w:ascii="Calibri" w:hAnsi="Calibri"/>
      <w:sz w:val="22"/>
      <w:szCs w:val="22"/>
      <w:lang w:val="ru-RU" w:eastAsia="en-US"/>
    </w:rPr>
  </w:style>
  <w:style w:type="paragraph" w:styleId="Style26">
    <w:name w:val="Body Text Indent"/>
    <w:basedOn w:val="Normal"/>
    <w:link w:val="afe"/>
    <w:uiPriority w:val="99"/>
    <w:semiHidden/>
    <w:unhideWhenUsed/>
    <w:rsid w:val="00fd7872"/>
    <w:pPr>
      <w:spacing w:before="0" w:after="120"/>
      <w:ind w:left="283" w:hanging="0"/>
    </w:pPr>
    <w:rPr/>
  </w:style>
  <w:style w:type="paragraph" w:styleId="Style27">
    <w:name w:val="Содержимое врезки"/>
    <w:basedOn w:val="Normal"/>
    <w:qFormat/>
    <w:pPr/>
    <w:rPr/>
  </w:style>
  <w:style w:type="paragraph" w:styleId="Style28">
    <w:name w:val="Колонтитул"/>
    <w:basedOn w:val="Normal"/>
    <w:qFormat/>
    <w:pPr/>
    <w:rPr/>
  </w:style>
  <w:style w:type="paragraph" w:styleId="Style29">
    <w:name w:val="Footer"/>
    <w:basedOn w:val="Style28"/>
    <w:pPr/>
    <w:rPr/>
  </w:style>
  <w:style w:type="paragraph" w:styleId="Style30">
    <w:name w:val="Header"/>
    <w:basedOn w:val="Style28"/>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rsid w:val="00924d48"/>
    <w:tblPr>
      <w:tblCellMar>
        <w:top w:w="0" w:type="dxa"/>
        <w:left w:w="0" w:type="dxa"/>
        <w:bottom w:w="0" w:type="dxa"/>
        <w:right w:w="0" w:type="dxa"/>
      </w:tblCellMar>
    </w:tbl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r_pol@i.ua"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7BB98148-8BBD-4B68-93FE-AFD825C59F4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LibreOffice/7.2.5.2$Windows_X86_64 LibreOffice_project/499f9727c189e6ef3471021d6132d4c694f357e5</Application>
  <AppVersion>15.0000</AppVersion>
  <Pages>34</Pages>
  <Words>10350</Words>
  <Characters>70139</Characters>
  <CharactersWithSpaces>80612</CharactersWithSpaces>
  <Paragraphs>662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2024-04-05T10:59:00Z</dcterms:created>
  <dc:creator>userua12</dc:creator>
  <dc:description/>
  <dc:language>ru-RU</dc:language>
  <cp:lastModifiedBy/>
  <dcterms:modified xsi:type="dcterms:W3CDTF">2024-04-09T15:36:44Z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