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8B" w:rsidRPr="00162F5F" w:rsidRDefault="0080058B" w:rsidP="0080058B">
      <w:pPr>
        <w:tabs>
          <w:tab w:val="left" w:pos="5670"/>
        </w:tabs>
        <w:ind w:firstLine="5766"/>
        <w:jc w:val="right"/>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b/>
          <w:lang w:val="uk-UA"/>
        </w:rPr>
        <w:t>Додаток</w:t>
      </w:r>
      <w:r>
        <w:rPr>
          <w:rFonts w:ascii="Times New Roman" w:hAnsi="Times New Roman" w:cs="Times New Roman"/>
          <w:b/>
          <w:lang w:val="uk-UA"/>
        </w:rPr>
        <w:t xml:space="preserve"> №</w:t>
      </w:r>
      <w:r w:rsidRPr="00162F5F">
        <w:rPr>
          <w:rFonts w:ascii="Times New Roman" w:hAnsi="Times New Roman" w:cs="Times New Roman"/>
          <w:b/>
          <w:lang w:val="uk-UA"/>
        </w:rPr>
        <w:t xml:space="preserve"> </w:t>
      </w:r>
      <w:r>
        <w:rPr>
          <w:rFonts w:ascii="Times New Roman" w:hAnsi="Times New Roman" w:cs="Times New Roman"/>
          <w:b/>
          <w:lang w:val="uk-UA"/>
        </w:rPr>
        <w:t>4 до тендерної документації</w:t>
      </w:r>
    </w:p>
    <w:p w:rsidR="0080058B" w:rsidRPr="00AE0DEC" w:rsidRDefault="0080058B" w:rsidP="0080058B">
      <w:pPr>
        <w:pStyle w:val="a3"/>
        <w:jc w:val="both"/>
        <w:rPr>
          <w:rFonts w:ascii="Times New Roman" w:hAnsi="Times New Roman" w:cs="Times New Roman"/>
          <w:lang w:val="uk-UA"/>
        </w:rPr>
      </w:pPr>
    </w:p>
    <w:p w:rsidR="0080058B" w:rsidRPr="00E73AF6" w:rsidRDefault="0080058B" w:rsidP="000F5554">
      <w:pPr>
        <w:jc w:val="center"/>
        <w:rPr>
          <w:rFonts w:ascii="Times New Roman" w:eastAsiaTheme="minorHAnsi" w:hAnsi="Times New Roman" w:cs="Times New Roman"/>
          <w:b/>
          <w:bCs/>
          <w:color w:val="auto"/>
          <w:lang w:val="uk-UA"/>
        </w:rPr>
      </w:pPr>
      <w:r>
        <w:rPr>
          <w:rFonts w:ascii="Times New Roman" w:hAnsi="Times New Roman"/>
          <w:b/>
          <w:bCs/>
          <w:sz w:val="28"/>
          <w:szCs w:val="28"/>
          <w:lang w:val="ru-RU"/>
        </w:rPr>
        <w:t>ДОКУМЕНТИ, ЯКІ ПОДАЄ ПЕРЕМОЖЕЦЬ ПРОЦЕДУРИ ЗАКУПІВЛІ*</w:t>
      </w:r>
    </w:p>
    <w:p w:rsidR="0080058B" w:rsidRDefault="0080058B" w:rsidP="0080058B">
      <w:pPr>
        <w:jc w:val="center"/>
        <w:rPr>
          <w:rFonts w:ascii="Times New Roman" w:eastAsia="Times New Roman" w:hAnsi="Times New Roman" w:cs="Times New Roman"/>
          <w:lang w:val="uk-UA"/>
        </w:rPr>
      </w:pPr>
      <w:r w:rsidRPr="00FB2402">
        <w:rPr>
          <w:rFonts w:ascii="Times New Roman" w:eastAsia="Times New Roman" w:hAnsi="Times New Roman" w:cs="Times New Roman"/>
          <w:lang w:val="uk-UA"/>
        </w:rPr>
        <w:t>П</w:t>
      </w:r>
      <w:r w:rsidRPr="00581AD1">
        <w:rPr>
          <w:rFonts w:ascii="Times New Roman" w:eastAsia="Times New Roman" w:hAnsi="Times New Roman" w:cs="Times New Roman"/>
          <w:lang w:val="uk-UA"/>
        </w:rPr>
        <w:t xml:space="preserve">ереможець процедури закупівлі </w:t>
      </w:r>
      <w:r w:rsidRPr="00345B25">
        <w:rPr>
          <w:rFonts w:ascii="Times New Roman" w:eastAsia="Times New Roman" w:hAnsi="Times New Roman" w:cs="Times New Roman"/>
          <w:b/>
          <w:lang w:val="uk-UA"/>
        </w:rPr>
        <w:t>у строк, що не перевищує чотири дні</w:t>
      </w:r>
      <w:r w:rsidRPr="00581AD1">
        <w:rPr>
          <w:rFonts w:ascii="Times New Roman" w:eastAsia="Times New Roman" w:hAnsi="Times New Roman"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581AD1">
        <w:rPr>
          <w:rFonts w:ascii="Times New Roman" w:eastAsia="Times New Roman" w:hAnsi="Times New Roman" w:cs="Times New Roman"/>
          <w:color w:val="auto"/>
          <w:u w:val="single"/>
          <w:lang w:val="uk-UA"/>
        </w:rPr>
        <w:t>пунктами</w:t>
      </w:r>
      <w:r w:rsidRPr="00581AD1">
        <w:rPr>
          <w:rFonts w:ascii="Times New Roman" w:eastAsia="Times New Roman" w:hAnsi="Times New Roman" w:cs="Times New Roman"/>
          <w:color w:val="auto"/>
          <w:lang w:val="uk-UA"/>
        </w:rPr>
        <w:t xml:space="preserve"> </w:t>
      </w:r>
      <w:hyperlink r:id="rId4" w:anchor="n1265">
        <w:r w:rsidRPr="00581AD1">
          <w:rPr>
            <w:rFonts w:ascii="Times New Roman" w:eastAsia="Times New Roman" w:hAnsi="Times New Roman" w:cs="Times New Roman"/>
            <w:color w:val="auto"/>
            <w:u w:val="single"/>
            <w:lang w:val="uk-UA"/>
          </w:rPr>
          <w:t>3</w:t>
        </w:r>
      </w:hyperlink>
      <w:r w:rsidRPr="00581AD1">
        <w:rPr>
          <w:rFonts w:ascii="Times New Roman" w:eastAsia="Times New Roman" w:hAnsi="Times New Roman" w:cs="Times New Roman"/>
          <w:color w:val="auto"/>
          <w:lang w:val="uk-UA"/>
        </w:rPr>
        <w:t xml:space="preserve">, </w:t>
      </w:r>
      <w:hyperlink r:id="rId5" w:anchor="n1267">
        <w:r w:rsidRPr="00581AD1">
          <w:rPr>
            <w:rFonts w:ascii="Times New Roman" w:eastAsia="Times New Roman" w:hAnsi="Times New Roman" w:cs="Times New Roman"/>
            <w:color w:val="auto"/>
            <w:u w:val="single"/>
            <w:lang w:val="uk-UA"/>
          </w:rPr>
          <w:t>5</w:t>
        </w:r>
      </w:hyperlink>
      <w:r w:rsidRPr="00581AD1">
        <w:rPr>
          <w:rFonts w:ascii="Times New Roman" w:eastAsia="Times New Roman" w:hAnsi="Times New Roman" w:cs="Times New Roman"/>
          <w:color w:val="auto"/>
          <w:lang w:val="uk-UA"/>
        </w:rPr>
        <w:t xml:space="preserve">, </w:t>
      </w:r>
      <w:hyperlink r:id="rId6" w:anchor="n1268">
        <w:r w:rsidRPr="00581AD1">
          <w:rPr>
            <w:rFonts w:ascii="Times New Roman" w:eastAsia="Times New Roman" w:hAnsi="Times New Roman" w:cs="Times New Roman"/>
            <w:color w:val="auto"/>
            <w:u w:val="single"/>
            <w:lang w:val="uk-UA"/>
          </w:rPr>
          <w:t>6</w:t>
        </w:r>
      </w:hyperlink>
      <w:r w:rsidRPr="00581AD1">
        <w:rPr>
          <w:rFonts w:ascii="Times New Roman" w:eastAsia="Times New Roman" w:hAnsi="Times New Roman" w:cs="Times New Roman"/>
          <w:color w:val="auto"/>
          <w:lang w:val="uk-UA"/>
        </w:rPr>
        <w:t xml:space="preserve">, і </w:t>
      </w:r>
      <w:hyperlink r:id="rId7" w:anchor="n1274">
        <w:r w:rsidRPr="00581AD1">
          <w:rPr>
            <w:rFonts w:ascii="Times New Roman" w:eastAsia="Times New Roman" w:hAnsi="Times New Roman" w:cs="Times New Roman"/>
            <w:color w:val="auto"/>
            <w:u w:val="single"/>
            <w:lang w:val="uk-UA"/>
          </w:rPr>
          <w:t>12</w:t>
        </w:r>
      </w:hyperlink>
      <w:r w:rsidRPr="00581AD1">
        <w:rPr>
          <w:rFonts w:ascii="Times New Roman" w:eastAsia="Times New Roman" w:hAnsi="Times New Roman" w:cs="Times New Roman"/>
          <w:color w:val="auto"/>
          <w:lang w:val="uk-UA"/>
        </w:rPr>
        <w:t xml:space="preserve"> та </w:t>
      </w:r>
      <w:r>
        <w:rPr>
          <w:lang w:val="uk-UA"/>
        </w:rPr>
        <w:t>абз</w:t>
      </w:r>
      <w:r w:rsidRPr="00581AD1">
        <w:rPr>
          <w:rFonts w:ascii="Times New Roman" w:eastAsia="Times New Roman" w:hAnsi="Times New Roman" w:cs="Times New Roman"/>
          <w:lang w:val="uk-UA"/>
        </w:rPr>
        <w:t>.</w:t>
      </w:r>
      <w:r>
        <w:rPr>
          <w:rFonts w:ascii="Times New Roman" w:eastAsia="Times New Roman" w:hAnsi="Times New Roman" w:cs="Times New Roman"/>
          <w:lang w:val="uk-UA"/>
        </w:rPr>
        <w:t xml:space="preserve"> 14 пункту 47 Особливостей, а саме:</w:t>
      </w:r>
    </w:p>
    <w:p w:rsidR="0080058B" w:rsidRPr="00A20951" w:rsidRDefault="0080058B" w:rsidP="00050B2E">
      <w:pPr>
        <w:jc w:val="center"/>
        <w:rPr>
          <w:rFonts w:ascii="Times New Roman" w:eastAsia="Times New Roman" w:hAnsi="Times New Roman"/>
          <w:b/>
          <w:lang w:val="uk-UA"/>
        </w:rPr>
      </w:pPr>
      <w:r>
        <w:rPr>
          <w:rFonts w:ascii="Times New Roman" w:eastAsia="Times New Roman" w:hAnsi="Times New Roman"/>
          <w:b/>
          <w:lang w:val="uk-UA"/>
        </w:rPr>
        <w:t>4</w:t>
      </w:r>
      <w:r w:rsidRPr="00A20951">
        <w:rPr>
          <w:rFonts w:ascii="Times New Roman" w:eastAsia="Times New Roman" w:hAnsi="Times New Roman"/>
          <w:b/>
          <w:lang w:val="uk-UA"/>
        </w:rPr>
        <w:t>.1.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80058B" w:rsidRPr="000F5554" w:rsidTr="005C29A2">
        <w:trPr>
          <w:trHeight w:val="6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w:t>
            </w:r>
          </w:p>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Вимоги</w:t>
            </w:r>
            <w:r>
              <w:rPr>
                <w:rFonts w:ascii="Times New Roman" w:eastAsia="Times New Roman" w:hAnsi="Times New Roman"/>
                <w:b/>
                <w:lang w:val="uk-UA"/>
              </w:rPr>
              <w:t xml:space="preserve"> згідно</w:t>
            </w:r>
            <w:r w:rsidRPr="00A20951">
              <w:rPr>
                <w:rFonts w:ascii="Times New Roman" w:eastAsia="Times New Roman" w:hAnsi="Times New Roman"/>
                <w:b/>
                <w:lang w:val="uk-UA"/>
              </w:rPr>
              <w:t xml:space="preserve"> п</w:t>
            </w:r>
            <w:r>
              <w:rPr>
                <w:rFonts w:ascii="Times New Roman" w:eastAsia="Times New Roman" w:hAnsi="Times New Roman"/>
                <w:b/>
                <w:lang w:val="uk-UA"/>
              </w:rPr>
              <w:t>.</w:t>
            </w:r>
            <w:r w:rsidRPr="00A20951">
              <w:rPr>
                <w:rFonts w:ascii="Times New Roman" w:eastAsia="Times New Roman" w:hAnsi="Times New Roman"/>
                <w:b/>
                <w:lang w:val="uk-UA"/>
              </w:rPr>
              <w:t>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p w:rsidR="0080058B" w:rsidRPr="00A20951" w:rsidRDefault="0080058B" w:rsidP="005C29A2">
            <w:pPr>
              <w:ind w:left="100"/>
              <w:jc w:val="both"/>
              <w:rPr>
                <w:rFonts w:ascii="Times New Roman" w:eastAsia="Times New Roman" w:hAnsi="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Переможець торгів на виконання вимоги п</w:t>
            </w:r>
            <w:r>
              <w:rPr>
                <w:rFonts w:ascii="Times New Roman" w:eastAsia="Times New Roman" w:hAnsi="Times New Roman"/>
                <w:b/>
                <w:lang w:val="uk-UA"/>
              </w:rPr>
              <w:t xml:space="preserve">.47 </w:t>
            </w:r>
            <w:r w:rsidRPr="00A20951">
              <w:rPr>
                <w:rFonts w:ascii="Times New Roman" w:eastAsia="Times New Roman" w:hAnsi="Times New Roman"/>
                <w:b/>
                <w:lang w:val="uk-UA"/>
              </w:rPr>
              <w:t>Особливостей (підтвердження відсутності підстав) повинен надати таку інформацію:</w:t>
            </w:r>
          </w:p>
        </w:tc>
      </w:tr>
      <w:tr w:rsidR="0080058B" w:rsidRPr="000F5554" w:rsidTr="005C29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w:t>
            </w:r>
            <w:r>
              <w:rPr>
                <w:rFonts w:ascii="Times New Roman" w:eastAsia="Times New Roman" w:hAnsi="Times New Roman"/>
                <w:lang w:val="uk-UA"/>
              </w:rPr>
              <w:t>, фізичну особу, яка є учасником процедури закупівлі, б</w:t>
            </w:r>
            <w:r w:rsidRPr="00A20951">
              <w:rPr>
                <w:rFonts w:ascii="Times New Roman" w:eastAsia="Times New Roman" w:hAnsi="Times New Roman"/>
                <w:lang w:val="uk-UA"/>
              </w:rPr>
              <w:t>уло притягнуто згідно із законом до відповідальності за вчинення корупційного правопорушення або правопорушення, пов’язаного з корупцією</w:t>
            </w:r>
          </w:p>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(підпункт 3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right="140"/>
              <w:jc w:val="both"/>
              <w:rPr>
                <w:rFonts w:ascii="Times New Roman" w:eastAsia="Times New Roman" w:hAnsi="Times New Roman"/>
                <w:lang w:val="uk-UA"/>
              </w:rPr>
            </w:pPr>
            <w:r w:rsidRPr="00A20951">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стосовно керівника учасника процедури закупівлі, який підписав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058B" w:rsidRPr="000F5554" w:rsidTr="005C29A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right="140"/>
              <w:jc w:val="both"/>
              <w:rPr>
                <w:rFonts w:ascii="Times New Roman" w:eastAsia="Times New Roman" w:hAnsi="Times New Roman"/>
                <w:lang w:val="uk-UA"/>
              </w:rPr>
            </w:pPr>
            <w:r w:rsidRPr="00A20951">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058B" w:rsidRPr="00A20951" w:rsidRDefault="0080058B" w:rsidP="005C29A2">
            <w:pPr>
              <w:ind w:right="140"/>
              <w:jc w:val="both"/>
              <w:rPr>
                <w:rFonts w:ascii="Times New Roman" w:eastAsia="Times New Roman" w:hAnsi="Times New Roman"/>
                <w:lang w:val="uk-UA"/>
              </w:rPr>
            </w:pPr>
            <w:r w:rsidRPr="00A20951">
              <w:rPr>
                <w:rFonts w:ascii="Times New Roman" w:eastAsia="Times New Roman" w:hAnsi="Times New Roman"/>
                <w:b/>
                <w:lang w:val="uk-UA"/>
              </w:rPr>
              <w:t>(підпункт 6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0058B" w:rsidRPr="00A20951" w:rsidRDefault="0080058B" w:rsidP="005C29A2">
            <w:pPr>
              <w:rPr>
                <w:rFonts w:ascii="Times New Roman" w:eastAsia="Times New Roman" w:hAnsi="Times New Roman"/>
                <w:lang w:val="uk-UA"/>
              </w:rPr>
            </w:pPr>
            <w:r w:rsidRPr="00A20951">
              <w:rPr>
                <w:rFonts w:ascii="Times New Roman" w:eastAsia="Times New Roman" w:hAnsi="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A20951">
              <w:rPr>
                <w:rFonts w:ascii="Times New Roman" w:eastAsia="Times New Roman" w:hAnsi="Times New Roman"/>
                <w:lang w:val="uk-UA"/>
              </w:rPr>
              <w:t>Документ повинен бути не більше тридцяти</w:t>
            </w:r>
            <w:r>
              <w:rPr>
                <w:rFonts w:ascii="Times New Roman" w:eastAsia="Times New Roman" w:hAnsi="Times New Roman"/>
                <w:lang w:val="uk-UA"/>
              </w:rPr>
              <w:t xml:space="preserve">денної давнини </w:t>
            </w:r>
            <w:r w:rsidRPr="00A20951">
              <w:rPr>
                <w:rFonts w:ascii="Times New Roman" w:eastAsia="Times New Roman" w:hAnsi="Times New Roman"/>
                <w:lang w:val="uk-UA"/>
              </w:rPr>
              <w:t xml:space="preserve"> від дати подання документа.</w:t>
            </w:r>
          </w:p>
        </w:tc>
      </w:tr>
      <w:tr w:rsidR="0080058B" w:rsidRPr="00A20951" w:rsidTr="005C29A2">
        <w:trPr>
          <w:trHeight w:val="1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(підпункт 12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058B" w:rsidRPr="00A20951" w:rsidRDefault="0080058B" w:rsidP="005C29A2">
            <w:pPr>
              <w:pBdr>
                <w:top w:val="nil"/>
                <w:left w:val="nil"/>
                <w:bottom w:val="nil"/>
                <w:right w:val="nil"/>
                <w:between w:val="nil"/>
              </w:pBdr>
              <w:rPr>
                <w:rFonts w:ascii="Times New Roman" w:eastAsia="Times New Roman" w:hAnsi="Times New Roman"/>
                <w:lang w:val="uk-UA"/>
              </w:rPr>
            </w:pPr>
          </w:p>
        </w:tc>
      </w:tr>
      <w:tr w:rsidR="0080058B" w:rsidRPr="000F5554" w:rsidTr="005C29A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b/>
                <w:lang w:val="uk-UA"/>
              </w:rPr>
            </w:pPr>
            <w:r w:rsidRPr="00A20951">
              <w:rPr>
                <w:rFonts w:ascii="Times New Roman" w:eastAsia="Times New Roman" w:hAnsi="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 xml:space="preserve">(абзац </w:t>
            </w:r>
            <w:r>
              <w:rPr>
                <w:rFonts w:ascii="Times New Roman" w:eastAsia="Times New Roman" w:hAnsi="Times New Roman"/>
                <w:b/>
                <w:lang w:val="uk-UA"/>
              </w:rPr>
              <w:t>14</w:t>
            </w:r>
            <w:r w:rsidRPr="00A20951">
              <w:rPr>
                <w:rFonts w:ascii="Times New Roman" w:eastAsia="Times New Roman" w:hAnsi="Times New Roman"/>
                <w:b/>
                <w:lang w:val="uk-UA"/>
              </w:rPr>
              <w:t xml:space="preserve">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40" w:right="140"/>
              <w:jc w:val="both"/>
              <w:rPr>
                <w:rFonts w:ascii="Times New Roman" w:eastAsia="Times New Roman" w:hAnsi="Times New Roman"/>
                <w:lang w:val="uk-UA"/>
              </w:rPr>
            </w:pPr>
            <w:r w:rsidRPr="00A20951">
              <w:rPr>
                <w:rFonts w:ascii="Times New Roman" w:eastAsia="Times New Roman" w:hAnsi="Times New Roman"/>
                <w:b/>
                <w:lang w:val="uk-UA"/>
              </w:rPr>
              <w:t>Довідка в довільній формі</w:t>
            </w:r>
            <w:r w:rsidRPr="00A20951">
              <w:rPr>
                <w:rFonts w:ascii="Times New Roman" w:eastAsia="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eastAsia="Times New Roman" w:hAnsi="Times New Roman"/>
                <w:lang w:val="uk-UA"/>
              </w:rPr>
              <w:t xml:space="preserve">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058B" w:rsidRPr="00A20951" w:rsidRDefault="0080058B" w:rsidP="0080058B">
      <w:pPr>
        <w:spacing w:before="240"/>
        <w:jc w:val="center"/>
        <w:rPr>
          <w:rFonts w:ascii="Times New Roman" w:eastAsia="Times New Roman" w:hAnsi="Times New Roman"/>
          <w:lang w:val="uk-UA"/>
        </w:rPr>
      </w:pPr>
      <w:r>
        <w:rPr>
          <w:rFonts w:ascii="Times New Roman" w:eastAsia="Times New Roman" w:hAnsi="Times New Roman"/>
          <w:b/>
          <w:lang w:val="uk-UA"/>
        </w:rPr>
        <w:t>4</w:t>
      </w:r>
      <w:r w:rsidRPr="00A20951">
        <w:rPr>
          <w:rFonts w:ascii="Times New Roman" w:eastAsia="Times New Roman" w:hAnsi="Times New Roman"/>
          <w:b/>
          <w:lang w:val="uk-UA"/>
        </w:rPr>
        <w:t>.2.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0058B" w:rsidRPr="000F5554" w:rsidTr="005C29A2">
        <w:trPr>
          <w:trHeight w:val="6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w:t>
            </w:r>
          </w:p>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Вимоги</w:t>
            </w:r>
            <w:r>
              <w:rPr>
                <w:rFonts w:ascii="Times New Roman" w:eastAsia="Times New Roman" w:hAnsi="Times New Roman"/>
                <w:b/>
                <w:lang w:val="uk-UA"/>
              </w:rPr>
              <w:t xml:space="preserve"> згідно</w:t>
            </w:r>
            <w:r w:rsidRPr="00A20951">
              <w:rPr>
                <w:rFonts w:ascii="Times New Roman" w:eastAsia="Times New Roman" w:hAnsi="Times New Roman"/>
                <w:b/>
                <w:lang w:val="uk-UA"/>
              </w:rPr>
              <w:t xml:space="preserve">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p w:rsidR="0080058B" w:rsidRPr="00A20951" w:rsidRDefault="0080058B" w:rsidP="005C29A2">
            <w:pPr>
              <w:ind w:left="100"/>
              <w:jc w:val="both"/>
              <w:rPr>
                <w:rFonts w:ascii="Times New Roman" w:eastAsia="Times New Roman" w:hAnsi="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Переможець торгів на виконання вимоги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 (підтвердження відсутності підстав) повинен надати таку інформацію:</w:t>
            </w:r>
          </w:p>
        </w:tc>
      </w:tr>
      <w:tr w:rsidR="0080058B" w:rsidRPr="000F5554" w:rsidTr="005C29A2">
        <w:trPr>
          <w:trHeight w:val="28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w:t>
            </w:r>
            <w:r>
              <w:rPr>
                <w:rFonts w:ascii="Times New Roman" w:eastAsia="Times New Roman" w:hAnsi="Times New Roman"/>
                <w:lang w:val="uk-UA"/>
              </w:rPr>
              <w:t>, фізичну особу, яка є учасником процедури закупівлі, б</w:t>
            </w:r>
            <w:r w:rsidRPr="00A20951">
              <w:rPr>
                <w:rFonts w:ascii="Times New Roman" w:eastAsia="Times New Roman" w:hAnsi="Times New Roman"/>
                <w:lang w:val="uk-UA"/>
              </w:rPr>
              <w:t>уло притягнуто згідно із законом до відповідальності за вчинення корупційного правопорушення або правопорушення, пов’язаного з корупцією</w:t>
            </w:r>
          </w:p>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(підпункт 3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right="142"/>
              <w:jc w:val="both"/>
              <w:rPr>
                <w:rFonts w:ascii="Times New Roman" w:eastAsia="Times New Roman" w:hAnsi="Times New Roman"/>
                <w:lang w:val="uk-UA"/>
              </w:rPr>
            </w:pPr>
            <w:r w:rsidRPr="00A20951">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058B" w:rsidRPr="000F5554" w:rsidTr="005C29A2">
        <w:trPr>
          <w:trHeight w:val="19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right="142"/>
              <w:jc w:val="both"/>
              <w:rPr>
                <w:rFonts w:ascii="Times New Roman" w:eastAsia="Times New Roman" w:hAnsi="Times New Roman"/>
                <w:lang w:val="uk-UA"/>
              </w:rPr>
            </w:pPr>
            <w:r w:rsidRPr="00A20951">
              <w:rPr>
                <w:rFonts w:ascii="Times New Roman" w:eastAsia="Times New Roman" w:hAnsi="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A20951">
              <w:rPr>
                <w:rFonts w:ascii="Times New Roman" w:eastAsia="Times New Roman" w:hAnsi="Times New Roman"/>
                <w:lang w:val="uk-UA"/>
              </w:rPr>
              <w:lastRenderedPageBreak/>
              <w:t>установленому законом порядку.</w:t>
            </w:r>
          </w:p>
          <w:p w:rsidR="0080058B" w:rsidRPr="00A20951" w:rsidRDefault="0080058B" w:rsidP="005C29A2">
            <w:pPr>
              <w:ind w:right="142"/>
              <w:jc w:val="both"/>
              <w:rPr>
                <w:rFonts w:ascii="Times New Roman" w:eastAsia="Times New Roman" w:hAnsi="Times New Roman"/>
                <w:lang w:val="uk-UA"/>
              </w:rPr>
            </w:pPr>
            <w:r w:rsidRPr="00A20951">
              <w:rPr>
                <w:rFonts w:ascii="Times New Roman" w:eastAsia="Times New Roman" w:hAnsi="Times New Roman"/>
                <w:b/>
                <w:lang w:val="uk-UA"/>
              </w:rPr>
              <w:t xml:space="preserve">  (підпункт 5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0058B" w:rsidRPr="00A20951" w:rsidRDefault="0080058B" w:rsidP="005C29A2">
            <w:pPr>
              <w:rPr>
                <w:rFonts w:ascii="Times New Roman" w:eastAsia="Times New Roman" w:hAnsi="Times New Roman"/>
                <w:lang w:val="uk-UA"/>
              </w:rPr>
            </w:pPr>
            <w:r w:rsidRPr="00A20951">
              <w:rPr>
                <w:rFonts w:ascii="Times New Roman" w:eastAsia="Times New Roman" w:hAnsi="Times New Roman"/>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A20951">
              <w:rPr>
                <w:rFonts w:ascii="Times New Roman" w:eastAsia="Times New Roman" w:hAnsi="Times New Roman"/>
                <w:b/>
                <w:lang w:val="uk-UA"/>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r w:rsidRPr="00A20951">
              <w:rPr>
                <w:rFonts w:ascii="Times New Roman" w:eastAsia="Times New Roman" w:hAnsi="Times New Roman"/>
                <w:lang w:val="uk-UA"/>
              </w:rPr>
              <w:t>Документ повинен бути не більше тридцяти</w:t>
            </w:r>
            <w:r>
              <w:rPr>
                <w:rFonts w:ascii="Times New Roman" w:eastAsia="Times New Roman" w:hAnsi="Times New Roman"/>
                <w:lang w:val="uk-UA"/>
              </w:rPr>
              <w:t>денної давнини</w:t>
            </w:r>
            <w:r w:rsidRPr="00A20951">
              <w:rPr>
                <w:rFonts w:ascii="Times New Roman" w:eastAsia="Times New Roman" w:hAnsi="Times New Roman"/>
                <w:lang w:val="uk-UA"/>
              </w:rPr>
              <w:t xml:space="preserve"> від дати подання документа. </w:t>
            </w:r>
          </w:p>
        </w:tc>
      </w:tr>
      <w:tr w:rsidR="0080058B" w:rsidRPr="00AA03FB" w:rsidTr="005C29A2">
        <w:trPr>
          <w:trHeight w:val="13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lang w:val="uk-UA"/>
              </w:rPr>
            </w:pPr>
            <w:r w:rsidRPr="00A20951">
              <w:rPr>
                <w:rFonts w:ascii="Times New Roman" w:eastAsia="Times New Roman" w:hAnsi="Times New Roman"/>
                <w:b/>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058B" w:rsidRPr="00A20951" w:rsidRDefault="0080058B" w:rsidP="005C29A2">
            <w:pPr>
              <w:ind w:left="100"/>
              <w:jc w:val="both"/>
              <w:rPr>
                <w:rFonts w:ascii="Times New Roman" w:eastAsia="Times New Roman" w:hAnsi="Times New Roman"/>
                <w:b/>
                <w:lang w:val="uk-UA"/>
              </w:rPr>
            </w:pPr>
            <w:r w:rsidRPr="00A20951">
              <w:rPr>
                <w:rFonts w:ascii="Times New Roman" w:eastAsia="Times New Roman" w:hAnsi="Times New Roman"/>
                <w:b/>
                <w:lang w:val="uk-UA"/>
              </w:rPr>
              <w:t>(підпункт 12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058B" w:rsidRPr="00A20951" w:rsidRDefault="0080058B" w:rsidP="005C29A2">
            <w:pPr>
              <w:pBdr>
                <w:top w:val="nil"/>
                <w:left w:val="nil"/>
                <w:bottom w:val="nil"/>
                <w:right w:val="nil"/>
                <w:between w:val="nil"/>
              </w:pBdr>
              <w:rPr>
                <w:rFonts w:ascii="Times New Roman" w:eastAsia="Times New Roman" w:hAnsi="Times New Roman"/>
                <w:lang w:val="uk-UA"/>
              </w:rPr>
            </w:pPr>
          </w:p>
        </w:tc>
      </w:tr>
      <w:tr w:rsidR="0080058B" w:rsidRPr="000F5554" w:rsidTr="005C29A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center"/>
              <w:rPr>
                <w:rFonts w:ascii="Times New Roman" w:eastAsia="Times New Roman" w:hAnsi="Times New Roman"/>
                <w:b/>
                <w:lang w:val="uk-UA"/>
              </w:rPr>
            </w:pPr>
            <w:r w:rsidRPr="00A20951">
              <w:rPr>
                <w:rFonts w:ascii="Times New Roman" w:eastAsia="Times New Roman" w:hAnsi="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0058B" w:rsidRPr="00A20951" w:rsidRDefault="0080058B" w:rsidP="005C29A2">
            <w:pPr>
              <w:ind w:left="100"/>
              <w:jc w:val="both"/>
              <w:rPr>
                <w:rFonts w:ascii="Times New Roman" w:eastAsia="Times New Roman" w:hAnsi="Times New Roman"/>
                <w:lang w:val="uk-UA"/>
              </w:rPr>
            </w:pPr>
            <w:r w:rsidRPr="00A20951">
              <w:rPr>
                <w:rFonts w:ascii="Times New Roman" w:eastAsia="Times New Roman" w:hAnsi="Times New Roman"/>
                <w:b/>
                <w:lang w:val="uk-UA"/>
              </w:rPr>
              <w:t xml:space="preserve">(абзац </w:t>
            </w:r>
            <w:r>
              <w:rPr>
                <w:rFonts w:ascii="Times New Roman" w:eastAsia="Times New Roman" w:hAnsi="Times New Roman"/>
                <w:b/>
                <w:lang w:val="uk-UA"/>
              </w:rPr>
              <w:t>14</w:t>
            </w:r>
            <w:r w:rsidRPr="00A20951">
              <w:rPr>
                <w:rFonts w:ascii="Times New Roman" w:eastAsia="Times New Roman" w:hAnsi="Times New Roman"/>
                <w:b/>
                <w:lang w:val="uk-UA"/>
              </w:rPr>
              <w:t xml:space="preserve"> пункту 4</w:t>
            </w:r>
            <w:r>
              <w:rPr>
                <w:rFonts w:ascii="Times New Roman" w:eastAsia="Times New Roman" w:hAnsi="Times New Roman"/>
                <w:b/>
                <w:lang w:val="uk-UA"/>
              </w:rPr>
              <w:t>7</w:t>
            </w:r>
            <w:r w:rsidRPr="00A20951">
              <w:rPr>
                <w:rFonts w:ascii="Times New Roman" w:eastAsia="Times New Roman" w:hAnsi="Times New Roman"/>
                <w:b/>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58B" w:rsidRPr="00A20951" w:rsidRDefault="0080058B" w:rsidP="005C29A2">
            <w:pPr>
              <w:ind w:left="140" w:right="140"/>
              <w:jc w:val="both"/>
              <w:rPr>
                <w:rFonts w:ascii="Times New Roman" w:eastAsia="Times New Roman" w:hAnsi="Times New Roman"/>
                <w:lang w:val="uk-UA"/>
              </w:rPr>
            </w:pPr>
            <w:r w:rsidRPr="00A20951">
              <w:rPr>
                <w:rFonts w:ascii="Times New Roman" w:eastAsia="Times New Roman" w:hAnsi="Times New Roman"/>
                <w:b/>
                <w:lang w:val="uk-UA"/>
              </w:rPr>
              <w:t>Довідка в довільній формі</w:t>
            </w:r>
            <w:r w:rsidRPr="00A20951">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lang w:val="uk-UA"/>
              </w:rPr>
              <w:t>відкритих торгах ( для цього переможець (суб'єкт господарювання) повинен довести, що він сплатив або зобов'язався оплатити відповідні зобов'язання за відшкодування завданих збитків.</w:t>
            </w:r>
          </w:p>
        </w:tc>
      </w:tr>
    </w:tbl>
    <w:p w:rsidR="0080058B" w:rsidRPr="00A20951" w:rsidRDefault="0080058B" w:rsidP="0080058B">
      <w:pPr>
        <w:pStyle w:val="a5"/>
        <w:spacing w:before="0" w:beforeAutospacing="0" w:after="0" w:afterAutospacing="0"/>
        <w:ind w:firstLine="708"/>
        <w:jc w:val="both"/>
        <w:rPr>
          <w:i/>
          <w:sz w:val="20"/>
          <w:szCs w:val="20"/>
          <w:lang w:val="uk-UA"/>
        </w:rPr>
      </w:pPr>
    </w:p>
    <w:p w:rsidR="0080058B" w:rsidRDefault="0080058B" w:rsidP="0080058B">
      <w:pPr>
        <w:rPr>
          <w:rFonts w:ascii="Times New Roman" w:eastAsia="Times New Roman" w:hAnsi="Times New Roman" w:cs="Times New Roman"/>
          <w:lang w:val="uk-UA"/>
        </w:rPr>
      </w:pPr>
      <w:r>
        <w:rPr>
          <w:rFonts w:ascii="Times New Roman" w:eastAsia="Times New Roman" w:hAnsi="Times New Roman" w:cs="Times New Roman"/>
          <w:i/>
          <w:sz w:val="22"/>
          <w:szCs w:val="22"/>
          <w:lang w:val="uk-UA"/>
        </w:rPr>
        <w:t xml:space="preserve">           *</w:t>
      </w:r>
      <w:r w:rsidRPr="006031AF">
        <w:rPr>
          <w:rFonts w:ascii="Times New Roman" w:eastAsia="Times New Roman" w:hAnsi="Times New Roman" w:cs="Times New Roman"/>
          <w:i/>
          <w:sz w:val="22"/>
          <w:szCs w:val="22"/>
          <w:lang w:val="uk-UA"/>
        </w:rPr>
        <w:t>У разі якщо переможцем процедури закупівлі є об’єднання учасників зазначені в цьому Додатку документи подаються по кожному з учасників, які входять у склад об’єднання окремо (з урахуванням законодавства країни реєстрації такого учасника).</w:t>
      </w:r>
    </w:p>
    <w:p w:rsidR="0080058B" w:rsidRPr="007A7C95" w:rsidRDefault="0080058B" w:rsidP="0080058B">
      <w:pPr>
        <w:pStyle w:val="a5"/>
        <w:spacing w:before="0" w:beforeAutospacing="0" w:after="0" w:afterAutospacing="0"/>
        <w:ind w:firstLine="708"/>
        <w:jc w:val="both"/>
        <w:rPr>
          <w:i/>
          <w:sz w:val="22"/>
          <w:szCs w:val="22"/>
          <w:lang w:val="uk-UA"/>
        </w:rPr>
      </w:pPr>
      <w:r w:rsidRPr="00344C4A">
        <w:rPr>
          <w:i/>
          <w:sz w:val="22"/>
          <w:szCs w:val="22"/>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Pr>
          <w:i/>
          <w:sz w:val="22"/>
          <w:szCs w:val="22"/>
          <w:lang w:val="uk-UA"/>
        </w:rPr>
        <w:t>3 підпункту 1</w:t>
      </w:r>
      <w:r w:rsidRPr="00344C4A">
        <w:rPr>
          <w:i/>
          <w:sz w:val="22"/>
          <w:szCs w:val="22"/>
          <w:lang w:val="uk-UA"/>
        </w:rPr>
        <w:t xml:space="preserve"> пункту 4</w:t>
      </w:r>
      <w:r>
        <w:rPr>
          <w:i/>
          <w:sz w:val="22"/>
          <w:szCs w:val="22"/>
          <w:lang w:val="uk-UA"/>
        </w:rPr>
        <w:t>4</w:t>
      </w:r>
      <w:r w:rsidRPr="00344C4A">
        <w:rPr>
          <w:i/>
          <w:sz w:val="22"/>
          <w:szCs w:val="22"/>
          <w:lang w:val="uk-UA"/>
        </w:rPr>
        <w:t xml:space="preserve"> Особливостей, а саме</w:t>
      </w:r>
      <w:r w:rsidRPr="00344C4A">
        <w:rPr>
          <w:i/>
          <w:lang w:val="uk-UA"/>
        </w:rPr>
        <w:t xml:space="preserve">: </w:t>
      </w:r>
      <w:bookmarkStart w:id="0" w:name="_GoBack"/>
      <w:r w:rsidRPr="007A7C95">
        <w:rPr>
          <w:i/>
          <w:sz w:val="22"/>
          <w:szCs w:val="22"/>
          <w:lang w:val="uk-UA"/>
        </w:rPr>
        <w:t>: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bookmarkEnd w:id="0"/>
    <w:p w:rsidR="0080058B" w:rsidRPr="00344C4A" w:rsidRDefault="0080058B" w:rsidP="0080058B">
      <w:pPr>
        <w:pStyle w:val="a5"/>
        <w:spacing w:before="0" w:beforeAutospacing="0" w:after="0" w:afterAutospacing="0"/>
        <w:ind w:firstLine="708"/>
        <w:jc w:val="both"/>
        <w:rPr>
          <w:i/>
          <w:sz w:val="22"/>
          <w:szCs w:val="22"/>
          <w:lang w:val="uk-UA"/>
        </w:rPr>
      </w:pPr>
      <w:r w:rsidRPr="00344C4A">
        <w:rPr>
          <w:i/>
          <w:sz w:val="22"/>
          <w:szCs w:val="22"/>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w:t>
      </w:r>
      <w:r w:rsidRPr="00344C4A">
        <w:rPr>
          <w:i/>
          <w:sz w:val="22"/>
          <w:szCs w:val="22"/>
          <w:lang w:val="uk-UA"/>
        </w:rPr>
        <w:lastRenderedPageBreak/>
        <w:t>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80058B" w:rsidRPr="00344C4A" w:rsidRDefault="0080058B" w:rsidP="0080058B">
      <w:pPr>
        <w:pStyle w:val="a5"/>
        <w:spacing w:before="0" w:beforeAutospacing="0" w:after="0" w:afterAutospacing="0"/>
        <w:ind w:firstLine="708"/>
        <w:jc w:val="both"/>
        <w:rPr>
          <w:i/>
          <w:sz w:val="22"/>
          <w:szCs w:val="22"/>
          <w:lang w:val="uk-UA"/>
        </w:rPr>
      </w:pPr>
      <w:r w:rsidRPr="00344C4A">
        <w:rPr>
          <w:i/>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80058B" w:rsidRPr="00A20951" w:rsidRDefault="0080058B" w:rsidP="0080058B">
      <w:pPr>
        <w:jc w:val="both"/>
        <w:rPr>
          <w:rFonts w:ascii="Times New Roman" w:hAnsi="Times New Roman"/>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80058B" w:rsidRDefault="0080058B" w:rsidP="0080058B">
      <w:pPr>
        <w:jc w:val="right"/>
        <w:rPr>
          <w:rFonts w:ascii="Times New Roman" w:hAnsi="Times New Roman" w:cs="Times New Roman"/>
          <w:b/>
          <w:bCs/>
          <w:lang w:val="uk-UA"/>
        </w:rPr>
      </w:pPr>
    </w:p>
    <w:p w:rsidR="00C93B5C" w:rsidRPr="0080058B" w:rsidRDefault="00C93B5C">
      <w:pPr>
        <w:rPr>
          <w:lang w:val="uk-UA"/>
        </w:rPr>
      </w:pPr>
    </w:p>
    <w:sectPr w:rsidR="00C93B5C" w:rsidRPr="008005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8B"/>
    <w:rsid w:val="00050B2E"/>
    <w:rsid w:val="000F5554"/>
    <w:rsid w:val="007A7C95"/>
    <w:rsid w:val="0080058B"/>
    <w:rsid w:val="00C93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7A48-7911-429A-8373-2740876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8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qFormat/>
    <w:rsid w:val="0080058B"/>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80058B"/>
    <w:rPr>
      <w:lang w:val="ru-RU"/>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Знак17,Знак18 Знак,Знак5"/>
    <w:basedOn w:val="a"/>
    <w:link w:val="a6"/>
    <w:uiPriority w:val="99"/>
    <w:unhideWhenUsed/>
    <w:qFormat/>
    <w:rsid w:val="0080058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5"/>
    <w:uiPriority w:val="99"/>
    <w:locked/>
    <w:rsid w:val="0080058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6327</Words>
  <Characters>3607</Characters>
  <Application>Microsoft Office Word</Application>
  <DocSecurity>0</DocSecurity>
  <Lines>30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2023-05-29T07:29:00Z</dcterms:created>
  <dcterms:modified xsi:type="dcterms:W3CDTF">2023-05-30T06:16:00Z</dcterms:modified>
</cp:coreProperties>
</file>