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A96" w:rsidRPr="005742CE" w:rsidRDefault="00573A96" w:rsidP="00573A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Комунальне підприємство «</w:t>
      </w:r>
      <w:proofErr w:type="spellStart"/>
      <w:r>
        <w:rPr>
          <w:rFonts w:ascii="Times New Roman" w:hAnsi="Times New Roman" w:cs="Times New Roman"/>
          <w:b/>
          <w:sz w:val="40"/>
          <w:szCs w:val="40"/>
        </w:rPr>
        <w:t>Житлокомунпослуги</w:t>
      </w:r>
      <w:proofErr w:type="spellEnd"/>
      <w:r>
        <w:rPr>
          <w:rFonts w:ascii="Times New Roman" w:hAnsi="Times New Roman" w:cs="Times New Roman"/>
          <w:b/>
          <w:sz w:val="40"/>
          <w:szCs w:val="40"/>
        </w:rPr>
        <w:t>»</w:t>
      </w:r>
      <w:r w:rsidRPr="005742CE">
        <w:rPr>
          <w:rFonts w:ascii="Times New Roman" w:hAnsi="Times New Roman" w:cs="Times New Roman"/>
          <w:b/>
          <w:sz w:val="40"/>
          <w:szCs w:val="40"/>
        </w:rPr>
        <w:t xml:space="preserve">  </w:t>
      </w:r>
    </w:p>
    <w:p w:rsidR="00573A96" w:rsidRPr="00AC3735" w:rsidRDefault="00573A96" w:rsidP="00573A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573A96" w:rsidRPr="00AC3735" w:rsidTr="007F4ACB">
        <w:trPr>
          <w:trHeight w:val="80"/>
        </w:trPr>
        <w:tc>
          <w:tcPr>
            <w:tcW w:w="4640" w:type="dxa"/>
            <w:shd w:val="clear" w:color="auto" w:fill="auto"/>
          </w:tcPr>
          <w:p w:rsidR="00573A96" w:rsidRPr="00AC3735" w:rsidRDefault="00573A96" w:rsidP="007F4ACB">
            <w:pPr>
              <w:spacing w:after="0" w:line="240" w:lineRule="auto"/>
              <w:rPr>
                <w:rFonts w:ascii="Times New Roman" w:hAnsi="Times New Roman" w:cs="Times New Roman"/>
                <w:b/>
                <w:bCs/>
              </w:rPr>
            </w:pPr>
          </w:p>
        </w:tc>
        <w:tc>
          <w:tcPr>
            <w:tcW w:w="5110" w:type="dxa"/>
            <w:shd w:val="clear" w:color="auto" w:fill="auto"/>
          </w:tcPr>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573A96" w:rsidRPr="00AC3735" w:rsidRDefault="0084077E"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25</w:t>
            </w:r>
            <w:r w:rsidR="00573A96" w:rsidRPr="00AC3735">
              <w:rPr>
                <w:rFonts w:ascii="Times New Roman" w:hAnsi="Times New Roman" w:cs="Times New Roman"/>
                <w:bCs/>
                <w:sz w:val="24"/>
                <w:szCs w:val="24"/>
              </w:rPr>
              <w:t xml:space="preserve"> </w:t>
            </w:r>
            <w:r w:rsidR="00AC2AF4">
              <w:rPr>
                <w:rFonts w:ascii="Times New Roman" w:hAnsi="Times New Roman" w:cs="Times New Roman"/>
                <w:bCs/>
                <w:sz w:val="24"/>
                <w:szCs w:val="24"/>
              </w:rPr>
              <w:t>березня</w:t>
            </w:r>
            <w:r w:rsidR="00573A96" w:rsidRPr="00AC3735">
              <w:rPr>
                <w:rFonts w:ascii="Times New Roman" w:hAnsi="Times New Roman" w:cs="Times New Roman"/>
                <w:bCs/>
                <w:sz w:val="24"/>
                <w:szCs w:val="24"/>
              </w:rPr>
              <w:t xml:space="preserve"> 202</w:t>
            </w:r>
            <w:r w:rsidR="00AC2AF4">
              <w:rPr>
                <w:rFonts w:ascii="Times New Roman" w:hAnsi="Times New Roman" w:cs="Times New Roman"/>
                <w:bCs/>
                <w:sz w:val="24"/>
                <w:szCs w:val="24"/>
              </w:rPr>
              <w:t>4</w:t>
            </w:r>
            <w:r w:rsidR="00573A96" w:rsidRPr="00AC3735">
              <w:rPr>
                <w:rFonts w:ascii="Times New Roman" w:hAnsi="Times New Roman" w:cs="Times New Roman"/>
                <w:bCs/>
                <w:sz w:val="24"/>
                <w:szCs w:val="24"/>
              </w:rPr>
              <w:t xml:space="preserve"> року</w:t>
            </w:r>
          </w:p>
          <w:p w:rsidR="00573A96" w:rsidRPr="00AC3735" w:rsidRDefault="00573A96" w:rsidP="007F4ACB">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573A96" w:rsidRPr="00AC3735" w:rsidRDefault="00573A96" w:rsidP="007F4AC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 </w:t>
            </w:r>
            <w:proofErr w:type="spellStart"/>
            <w:r>
              <w:rPr>
                <w:rFonts w:ascii="Times New Roman" w:hAnsi="Times New Roman" w:cs="Times New Roman"/>
                <w:bCs/>
                <w:sz w:val="24"/>
                <w:szCs w:val="24"/>
              </w:rPr>
              <w:t>Витак</w:t>
            </w:r>
            <w:proofErr w:type="spellEnd"/>
          </w:p>
          <w:p w:rsidR="00573A96" w:rsidRPr="00AC3735" w:rsidRDefault="00573A96" w:rsidP="007F4ACB">
            <w:pPr>
              <w:spacing w:after="0" w:line="240" w:lineRule="auto"/>
              <w:rPr>
                <w:rFonts w:ascii="Times New Roman" w:hAnsi="Times New Roman" w:cs="Times New Roman"/>
                <w:bCs/>
                <w:sz w:val="24"/>
                <w:szCs w:val="24"/>
              </w:rPr>
            </w:pPr>
          </w:p>
          <w:p w:rsidR="00573A96" w:rsidRPr="00AC3735" w:rsidRDefault="00573A96" w:rsidP="007F4ACB">
            <w:pPr>
              <w:spacing w:after="0" w:line="240" w:lineRule="auto"/>
              <w:rPr>
                <w:rFonts w:ascii="Times New Roman" w:hAnsi="Times New Roman" w:cs="Times New Roman"/>
                <w:sz w:val="24"/>
                <w:szCs w:val="24"/>
                <w:shd w:val="clear" w:color="auto" w:fill="FFFF00"/>
              </w:rPr>
            </w:pPr>
          </w:p>
        </w:tc>
      </w:tr>
    </w:tbl>
    <w:p w:rsidR="00573A96" w:rsidRPr="00AC3735" w:rsidRDefault="00573A96" w:rsidP="00573A96">
      <w:pPr>
        <w:widowControl w:val="0"/>
        <w:spacing w:after="0" w:line="240" w:lineRule="auto"/>
        <w:ind w:firstLine="567"/>
        <w:jc w:val="center"/>
        <w:rPr>
          <w:rFonts w:ascii="Times New Roman" w:hAnsi="Times New Roman" w:cs="Times New Roman"/>
          <w:b/>
        </w:rPr>
      </w:pPr>
    </w:p>
    <w:tbl>
      <w:tblPr>
        <w:tblW w:w="0" w:type="auto"/>
        <w:tblCellSpacing w:w="15" w:type="dxa"/>
        <w:tblCellMar>
          <w:top w:w="15" w:type="dxa"/>
          <w:left w:w="15" w:type="dxa"/>
          <w:bottom w:w="15" w:type="dxa"/>
          <w:right w:w="15" w:type="dxa"/>
        </w:tblCellMar>
        <w:tblLook w:val="04A0"/>
      </w:tblPr>
      <w:tblGrid>
        <w:gridCol w:w="81"/>
        <w:gridCol w:w="81"/>
      </w:tblGrid>
      <w:tr w:rsidR="00573A96" w:rsidRPr="0002324E" w:rsidTr="007F4ACB">
        <w:trPr>
          <w:tblCellSpacing w:w="15" w:type="dxa"/>
        </w:trPr>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c>
          <w:tcPr>
            <w:tcW w:w="0" w:type="auto"/>
            <w:vAlign w:val="center"/>
            <w:hideMark/>
          </w:tcPr>
          <w:p w:rsidR="00573A96" w:rsidRPr="0002324E" w:rsidRDefault="00573A96" w:rsidP="007F4ACB">
            <w:pPr>
              <w:spacing w:after="0" w:line="240" w:lineRule="auto"/>
              <w:rPr>
                <w:rFonts w:ascii="Times New Roman" w:eastAsia="Times New Roman" w:hAnsi="Times New Roman" w:cs="Times New Roman"/>
                <w:sz w:val="24"/>
                <w:szCs w:val="24"/>
              </w:rPr>
            </w:pPr>
          </w:p>
        </w:tc>
      </w:tr>
    </w:tbl>
    <w:p w:rsidR="00573A96" w:rsidRPr="00AC3735" w:rsidRDefault="00573A96" w:rsidP="00573A96">
      <w:pPr>
        <w:spacing w:after="0" w:line="240" w:lineRule="auto"/>
        <w:jc w:val="right"/>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rPr>
      </w:pPr>
    </w:p>
    <w:p w:rsidR="00573A96" w:rsidRPr="00AC3735" w:rsidRDefault="00573A96" w:rsidP="00573A96">
      <w:pPr>
        <w:spacing w:after="0" w:line="240" w:lineRule="auto"/>
        <w:rPr>
          <w:rFonts w:ascii="Times New Roman" w:hAnsi="Times New Roman" w:cs="Times New Roman"/>
          <w:b/>
        </w:rPr>
      </w:pPr>
    </w:p>
    <w:p w:rsidR="00573A96" w:rsidRPr="00AC3735" w:rsidRDefault="00573A96" w:rsidP="00573A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Дизельне паливо</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C52732" w:rsidRDefault="00573A96" w:rsidP="00573A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 xml:space="preserve">(код </w:t>
      </w:r>
      <w:proofErr w:type="spellStart"/>
      <w:r w:rsidRPr="00C52732">
        <w:rPr>
          <w:rFonts w:ascii="Times New Roman" w:hAnsi="Times New Roman" w:cs="Times New Roman"/>
          <w:b/>
          <w:i/>
          <w:sz w:val="28"/>
          <w:szCs w:val="28"/>
        </w:rPr>
        <w:t>ДК</w:t>
      </w:r>
      <w:proofErr w:type="spellEnd"/>
      <w:r w:rsidRPr="00C52732">
        <w:rPr>
          <w:rFonts w:ascii="Times New Roman" w:hAnsi="Times New Roman" w:cs="Times New Roman"/>
          <w:b/>
          <w:i/>
          <w:sz w:val="28"/>
          <w:szCs w:val="28"/>
        </w:rPr>
        <w:t xml:space="preserve"> 021:2015 – 09130000-9- «Нафта і дистиляти»</w:t>
      </w:r>
      <w:r w:rsidRPr="00C52732">
        <w:rPr>
          <w:rFonts w:ascii="Times New Roman" w:hAnsi="Times New Roman" w:cs="Times New Roman"/>
          <w:b/>
          <w:i/>
          <w:sz w:val="28"/>
          <w:szCs w:val="28"/>
          <w:lang w:bidi="uk-UA"/>
        </w:rPr>
        <w:t>)</w:t>
      </w:r>
    </w:p>
    <w:p w:rsidR="00573A96" w:rsidRPr="00AC3735" w:rsidRDefault="00573A96" w:rsidP="00573A96">
      <w:pPr>
        <w:spacing w:after="0" w:line="240" w:lineRule="auto"/>
        <w:jc w:val="center"/>
        <w:rPr>
          <w:rFonts w:ascii="Times New Roman" w:hAnsi="Times New Roman" w:cs="Times New Roman"/>
          <w:b/>
          <w:bCs/>
          <w:i/>
          <w:sz w:val="28"/>
          <w:szCs w:val="28"/>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Default="00573A96" w:rsidP="00573A96">
      <w:pPr>
        <w:spacing w:after="0" w:line="240" w:lineRule="auto"/>
        <w:jc w:val="center"/>
        <w:rPr>
          <w:rFonts w:ascii="Times New Roman" w:hAnsi="Times New Roman" w:cs="Times New Roman"/>
          <w:b/>
          <w:sz w:val="24"/>
          <w:szCs w:val="24"/>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AC3735" w:rsidRDefault="00573A96" w:rsidP="00573A96">
      <w:pPr>
        <w:spacing w:after="0" w:line="240" w:lineRule="auto"/>
        <w:jc w:val="center"/>
        <w:rPr>
          <w:rFonts w:ascii="Times New Roman" w:hAnsi="Times New Roman" w:cs="Times New Roman"/>
        </w:rPr>
      </w:pPr>
    </w:p>
    <w:p w:rsidR="00573A96" w:rsidRPr="005742CE" w:rsidRDefault="00573A96" w:rsidP="00573A96">
      <w:pPr>
        <w:spacing w:after="0" w:line="240" w:lineRule="auto"/>
        <w:jc w:val="center"/>
        <w:rPr>
          <w:rFonts w:ascii="Times New Roman" w:hAnsi="Times New Roman" w:cs="Times New Roman"/>
          <w:b/>
        </w:rPr>
      </w:pPr>
      <w:proofErr w:type="spellStart"/>
      <w:r>
        <w:rPr>
          <w:rFonts w:ascii="Times New Roman" w:hAnsi="Times New Roman" w:cs="Times New Roman"/>
          <w:b/>
          <w:color w:val="000000"/>
          <w:sz w:val="32"/>
          <w:szCs w:val="32"/>
        </w:rPr>
        <w:t>смт</w:t>
      </w:r>
      <w:proofErr w:type="spellEnd"/>
      <w:r>
        <w:rPr>
          <w:rFonts w:ascii="Times New Roman" w:hAnsi="Times New Roman" w:cs="Times New Roman"/>
          <w:b/>
          <w:color w:val="000000"/>
          <w:sz w:val="32"/>
          <w:szCs w:val="32"/>
        </w:rPr>
        <w:t xml:space="preserve">. </w:t>
      </w:r>
      <w:proofErr w:type="spellStart"/>
      <w:r>
        <w:rPr>
          <w:rFonts w:ascii="Times New Roman" w:hAnsi="Times New Roman" w:cs="Times New Roman"/>
          <w:b/>
          <w:color w:val="000000"/>
          <w:sz w:val="32"/>
          <w:szCs w:val="32"/>
        </w:rPr>
        <w:t>Гніздичів</w:t>
      </w:r>
      <w:proofErr w:type="spellEnd"/>
      <w:r w:rsidRPr="00AC3735">
        <w:rPr>
          <w:rFonts w:ascii="Times New Roman" w:hAnsi="Times New Roman" w:cs="Times New Roman"/>
          <w:b/>
          <w:color w:val="000000"/>
          <w:sz w:val="32"/>
          <w:szCs w:val="32"/>
        </w:rPr>
        <w:t xml:space="preserve"> – 202</w:t>
      </w:r>
      <w:r w:rsidR="008679B3">
        <w:rPr>
          <w:rFonts w:ascii="Times New Roman" w:hAnsi="Times New Roman" w:cs="Times New Roman"/>
          <w:b/>
          <w:color w:val="000000"/>
          <w:sz w:val="32"/>
          <w:szCs w:val="32"/>
        </w:rPr>
        <w:t>4</w:t>
      </w:r>
    </w:p>
    <w:tbl>
      <w:tblPr>
        <w:tblStyle w:val="12"/>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 xml:space="preserve">Про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624182">
              <w:rPr>
                <w:rFonts w:ascii="Times New Roman" w:eastAsia="Times New Roman" w:hAnsi="Times New Roman"/>
                <w:sz w:val="24"/>
                <w:szCs w:val="24"/>
                <w:lang w:eastAsia="ru-RU"/>
              </w:rPr>
              <w:t>“Про</w:t>
            </w:r>
            <w:proofErr w:type="spellEnd"/>
            <w:r w:rsidRPr="00624182">
              <w:rPr>
                <w:rFonts w:ascii="Times New Roman" w:eastAsia="Times New Roman" w:hAnsi="Times New Roman"/>
                <w:sz w:val="24"/>
                <w:szCs w:val="24"/>
                <w:lang w:eastAsia="ru-RU"/>
              </w:rPr>
              <w:t xml:space="preserve"> публічні </w:t>
            </w:r>
            <w:proofErr w:type="spellStart"/>
            <w:r w:rsidRPr="00624182">
              <w:rPr>
                <w:rFonts w:ascii="Times New Roman" w:eastAsia="Times New Roman" w:hAnsi="Times New Roman"/>
                <w:sz w:val="24"/>
                <w:szCs w:val="24"/>
                <w:lang w:eastAsia="ru-RU"/>
              </w:rPr>
              <w:t>закупівлі”</w:t>
            </w:r>
            <w:proofErr w:type="spellEnd"/>
            <w:r w:rsidRPr="00624182">
              <w:rPr>
                <w:rFonts w:ascii="Times New Roman" w:eastAsia="Times New Roman" w:hAnsi="Times New Roman"/>
                <w:sz w:val="24"/>
                <w:szCs w:val="24"/>
                <w:lang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666D1C" w:rsidRDefault="00574B27"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Комунальне підприємство «</w:t>
            </w:r>
            <w:proofErr w:type="spellStart"/>
            <w:r>
              <w:rPr>
                <w:rFonts w:ascii="Times New Roman" w:eastAsia="Times New Roman" w:hAnsi="Times New Roman" w:cs="Times New Roman"/>
                <w:color w:val="000000"/>
                <w:sz w:val="24"/>
                <w:szCs w:val="24"/>
              </w:rPr>
              <w:t>Житлокомунпослуги</w:t>
            </w:r>
            <w:proofErr w:type="spellEnd"/>
            <w:r>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666D1C" w:rsidP="00BE1186">
            <w:pPr>
              <w:pStyle w:val="11"/>
              <w:widowControl w:val="0"/>
              <w:pBdr>
                <w:top w:val="nil"/>
                <w:left w:val="nil"/>
                <w:bottom w:val="nil"/>
                <w:right w:val="nil"/>
                <w:between w:val="nil"/>
              </w:pBdr>
              <w:jc w:val="both"/>
              <w:rPr>
                <w:rFonts w:ascii="Times New Roman" w:hAnsi="Times New Roman" w:cs="Times New Roman"/>
                <w:kern w:val="2"/>
                <w:sz w:val="24"/>
                <w:szCs w:val="24"/>
                <w:lang w:eastAsia="ru-RU"/>
              </w:rPr>
            </w:pPr>
            <w:r>
              <w:rPr>
                <w:rFonts w:ascii="Times New Roman" w:hAnsi="Times New Roman" w:cs="Times New Roman"/>
                <w:kern w:val="2"/>
                <w:sz w:val="24"/>
                <w:szCs w:val="24"/>
                <w:lang w:eastAsia="ru-RU"/>
              </w:rPr>
              <w:t xml:space="preserve">81740, Львівська область, </w:t>
            </w:r>
            <w:proofErr w:type="spellStart"/>
            <w:r>
              <w:rPr>
                <w:rFonts w:ascii="Times New Roman" w:hAnsi="Times New Roman" w:cs="Times New Roman"/>
                <w:kern w:val="2"/>
                <w:sz w:val="24"/>
                <w:szCs w:val="24"/>
                <w:lang w:eastAsia="ru-RU"/>
              </w:rPr>
              <w:t>Стрийський</w:t>
            </w:r>
            <w:proofErr w:type="spellEnd"/>
            <w:r>
              <w:rPr>
                <w:rFonts w:ascii="Times New Roman" w:hAnsi="Times New Roman" w:cs="Times New Roman"/>
                <w:kern w:val="2"/>
                <w:sz w:val="24"/>
                <w:szCs w:val="24"/>
                <w:lang w:eastAsia="ru-RU"/>
              </w:rPr>
              <w:t xml:space="preserve"> район, </w:t>
            </w:r>
            <w:proofErr w:type="spellStart"/>
            <w:r>
              <w:rPr>
                <w:rFonts w:ascii="Times New Roman" w:hAnsi="Times New Roman" w:cs="Times New Roman"/>
                <w:kern w:val="2"/>
                <w:sz w:val="24"/>
                <w:szCs w:val="24"/>
                <w:lang w:eastAsia="ru-RU"/>
              </w:rPr>
              <w:t>смт</w:t>
            </w:r>
            <w:proofErr w:type="spellEnd"/>
            <w:r>
              <w:rPr>
                <w:rFonts w:ascii="Times New Roman" w:hAnsi="Times New Roman" w:cs="Times New Roman"/>
                <w:kern w:val="2"/>
                <w:sz w:val="24"/>
                <w:szCs w:val="24"/>
                <w:lang w:eastAsia="ru-RU"/>
              </w:rPr>
              <w:t xml:space="preserve">. </w:t>
            </w:r>
            <w:proofErr w:type="spellStart"/>
            <w:r>
              <w:rPr>
                <w:rFonts w:ascii="Times New Roman" w:hAnsi="Times New Roman" w:cs="Times New Roman"/>
                <w:kern w:val="2"/>
                <w:sz w:val="24"/>
                <w:szCs w:val="24"/>
                <w:lang w:eastAsia="ru-RU"/>
              </w:rPr>
              <w:t>Гніздичів</w:t>
            </w:r>
            <w:proofErr w:type="spellEnd"/>
            <w:r>
              <w:rPr>
                <w:rFonts w:ascii="Times New Roman" w:hAnsi="Times New Roman" w:cs="Times New Roman"/>
                <w:kern w:val="2"/>
                <w:sz w:val="24"/>
                <w:szCs w:val="24"/>
                <w:lang w:eastAsia="ru-RU"/>
              </w:rPr>
              <w:t>, вул. Грушевського,</w:t>
            </w:r>
            <w:r w:rsidR="00574B27">
              <w:rPr>
                <w:rFonts w:ascii="Times New Roman" w:hAnsi="Times New Roman" w:cs="Times New Roman"/>
                <w:kern w:val="2"/>
                <w:sz w:val="24"/>
                <w:szCs w:val="24"/>
                <w:lang w:eastAsia="ru-RU"/>
              </w:rPr>
              <w:t xml:space="preserve"> 3</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proofErr w:type="spellStart"/>
            <w:r>
              <w:rPr>
                <w:rFonts w:ascii="Times New Roman" w:hAnsi="Times New Roman" w:cs="Times New Roman"/>
                <w:sz w:val="24"/>
                <w:szCs w:val="24"/>
              </w:rPr>
              <w:t>Витак</w:t>
            </w:r>
            <w:proofErr w:type="spellEnd"/>
            <w:r>
              <w:rPr>
                <w:rFonts w:ascii="Times New Roman" w:hAnsi="Times New Roman" w:cs="Times New Roman"/>
                <w:sz w:val="24"/>
                <w:szCs w:val="24"/>
              </w:rPr>
              <w:t xml:space="preserve"> Марія Володимирівна (уповноважена особа) –</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Посада – бухгалтер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Житлокомунпослуги</w:t>
            </w:r>
            <w:proofErr w:type="spellEnd"/>
            <w:r>
              <w:rPr>
                <w:rFonts w:ascii="Times New Roman" w:hAnsi="Times New Roman" w:cs="Times New Roman"/>
                <w:sz w:val="24"/>
                <w:szCs w:val="24"/>
              </w:rPr>
              <w:t>»</w:t>
            </w:r>
          </w:p>
          <w:p w:rsidR="00574B27" w:rsidRDefault="00574B27" w:rsidP="00574B27">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 xml:space="preserve"> тел. 067-39-32-564</w:t>
            </w:r>
          </w:p>
          <w:p w:rsidR="00AC3735" w:rsidRPr="00A43CFA" w:rsidRDefault="00574B27" w:rsidP="00574B27">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E139EE">
              <w:rPr>
                <w:rFonts w:ascii="Times New Roman" w:hAnsi="Times New Roman" w:cs="Times New Roman"/>
                <w:sz w:val="24"/>
                <w:szCs w:val="24"/>
                <w:lang w:val="de-DE"/>
              </w:rPr>
              <w:t>e</w:t>
            </w:r>
            <w:r w:rsidRPr="008270E7">
              <w:rPr>
                <w:rFonts w:ascii="Times New Roman" w:hAnsi="Times New Roman" w:cs="Times New Roman"/>
                <w:sz w:val="24"/>
                <w:szCs w:val="24"/>
                <w:lang w:val="de-DE"/>
              </w:rPr>
              <w:t>-</w:t>
            </w:r>
            <w:proofErr w:type="spellStart"/>
            <w:r w:rsidRPr="00E139EE">
              <w:rPr>
                <w:rFonts w:ascii="Times New Roman" w:hAnsi="Times New Roman" w:cs="Times New Roman"/>
                <w:sz w:val="24"/>
                <w:szCs w:val="24"/>
                <w:lang w:val="de-DE"/>
              </w:rPr>
              <w:t>mail</w:t>
            </w:r>
            <w:proofErr w:type="spellEnd"/>
            <w:r>
              <w:rPr>
                <w:rFonts w:ascii="Times New Roman" w:hAnsi="Times New Roman" w:cs="Times New Roman"/>
                <w:sz w:val="24"/>
                <w:szCs w:val="24"/>
              </w:rPr>
              <w:t xml:space="preserve">: </w:t>
            </w:r>
            <w:r w:rsidRPr="00273BC7">
              <w:rPr>
                <w:rFonts w:ascii="Times New Roman" w:eastAsia="Times New Roman" w:hAnsi="Times New Roman" w:cs="Times New Roman"/>
                <w:sz w:val="24"/>
                <w:szCs w:val="24"/>
              </w:rPr>
              <w:t>v.savchak@rambler.ru</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AC3735" w:rsidP="00857DC1">
            <w:pPr>
              <w:autoSpaceDE w:val="0"/>
              <w:autoSpaceDN w:val="0"/>
              <w:adjustRightInd w:val="0"/>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367696" w:rsidP="002618BB">
            <w:pPr>
              <w:autoSpaceDE w:val="0"/>
              <w:autoSpaceDN w:val="0"/>
              <w:adjustRightInd w:val="0"/>
              <w:jc w:val="both"/>
              <w:rPr>
                <w:rFonts w:ascii="Times New Roman" w:hAnsi="Times New Roman" w:cs="Times New Roman"/>
                <w:sz w:val="24"/>
                <w:szCs w:val="24"/>
                <w:lang w:bidi="uk-UA"/>
              </w:rPr>
            </w:pPr>
            <w:r>
              <w:rPr>
                <w:rFonts w:ascii="Times New Roman" w:hAnsi="Times New Roman" w:cs="Times New Roman"/>
                <w:bCs/>
                <w:sz w:val="24"/>
                <w:szCs w:val="24"/>
              </w:rPr>
              <w:t>Д</w:t>
            </w:r>
            <w:r w:rsidR="00074F7F">
              <w:rPr>
                <w:rFonts w:ascii="Times New Roman" w:hAnsi="Times New Roman" w:cs="Times New Roman"/>
                <w:bCs/>
                <w:sz w:val="24"/>
                <w:szCs w:val="24"/>
              </w:rPr>
              <w:t xml:space="preserve">изельне паливо (код </w:t>
            </w:r>
            <w:proofErr w:type="spellStart"/>
            <w:r w:rsidR="00074F7F">
              <w:rPr>
                <w:rFonts w:ascii="Times New Roman" w:hAnsi="Times New Roman" w:cs="Times New Roman"/>
                <w:bCs/>
                <w:sz w:val="24"/>
                <w:szCs w:val="24"/>
              </w:rPr>
              <w:t>ДК</w:t>
            </w:r>
            <w:proofErr w:type="spellEnd"/>
            <w:r w:rsidR="00074F7F">
              <w:rPr>
                <w:rFonts w:ascii="Times New Roman" w:hAnsi="Times New Roman" w:cs="Times New Roman"/>
                <w:bCs/>
                <w:sz w:val="24"/>
                <w:szCs w:val="24"/>
              </w:rPr>
              <w:t xml:space="preserve"> 021:2015 – 09130000-9- «Нафта та дистиляти»)</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E210A0" w:rsidRDefault="00B720F9" w:rsidP="00574B27">
            <w:pPr>
              <w:autoSpaceDE w:val="0"/>
              <w:adjustRightInd w:val="0"/>
              <w:jc w:val="both"/>
              <w:rPr>
                <w:rFonts w:ascii="Times New Roman" w:hAnsi="Times New Roman" w:cs="Times New Roman"/>
                <w:sz w:val="24"/>
                <w:szCs w:val="24"/>
              </w:rPr>
            </w:pPr>
            <w:r w:rsidRPr="00402B65">
              <w:rPr>
                <w:rFonts w:ascii="Times New Roman" w:hAnsi="Times New Roman" w:cs="Times New Roman"/>
                <w:color w:val="000000"/>
                <w:sz w:val="24"/>
                <w:szCs w:val="24"/>
              </w:rPr>
              <w:t xml:space="preserve">81740, Львівська область, </w:t>
            </w:r>
            <w:proofErr w:type="spellStart"/>
            <w:r w:rsidRPr="00402B65">
              <w:rPr>
                <w:rFonts w:ascii="Times New Roman" w:hAnsi="Times New Roman" w:cs="Times New Roman"/>
                <w:color w:val="000000"/>
                <w:sz w:val="24"/>
                <w:szCs w:val="24"/>
              </w:rPr>
              <w:t>смт</w:t>
            </w:r>
            <w:proofErr w:type="spellEnd"/>
            <w:r w:rsidRPr="00402B65">
              <w:rPr>
                <w:rFonts w:ascii="Times New Roman" w:hAnsi="Times New Roman" w:cs="Times New Roman"/>
                <w:color w:val="000000"/>
                <w:sz w:val="24"/>
                <w:szCs w:val="24"/>
              </w:rPr>
              <w:t xml:space="preserve">. </w:t>
            </w:r>
            <w:proofErr w:type="spellStart"/>
            <w:r w:rsidRPr="00402B65">
              <w:rPr>
                <w:rFonts w:ascii="Times New Roman" w:hAnsi="Times New Roman" w:cs="Times New Roman"/>
                <w:color w:val="000000"/>
                <w:sz w:val="24"/>
                <w:szCs w:val="24"/>
              </w:rPr>
              <w:t>Гніздичів</w:t>
            </w:r>
            <w:proofErr w:type="spellEnd"/>
            <w:r w:rsidRPr="00402B65">
              <w:rPr>
                <w:rFonts w:ascii="Times New Roman" w:hAnsi="Times New Roman" w:cs="Times New Roman"/>
                <w:color w:val="000000"/>
                <w:sz w:val="24"/>
                <w:szCs w:val="24"/>
              </w:rPr>
              <w:t xml:space="preserve">, вул. Грушевського, </w:t>
            </w:r>
            <w:r w:rsidR="00574B27">
              <w:rPr>
                <w:rFonts w:ascii="Times New Roman" w:hAnsi="Times New Roman" w:cs="Times New Roman"/>
                <w:color w:val="000000"/>
                <w:sz w:val="24"/>
                <w:szCs w:val="24"/>
              </w:rPr>
              <w:t>3</w:t>
            </w:r>
            <w:r w:rsidRPr="00402B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кількість Товару</w:t>
            </w:r>
            <w:r w:rsidRPr="00402B65">
              <w:rPr>
                <w:rFonts w:ascii="Times New Roman" w:hAnsi="Times New Roman" w:cs="Times New Roman"/>
                <w:color w:val="000000"/>
                <w:sz w:val="24"/>
                <w:szCs w:val="24"/>
              </w:rPr>
              <w:t xml:space="preserve"> відповідно </w:t>
            </w:r>
            <w:r w:rsidRPr="00402B65">
              <w:rPr>
                <w:rFonts w:ascii="Times New Roman" w:hAnsi="Times New Roman" w:cs="Times New Roman"/>
                <w:b/>
                <w:color w:val="000000"/>
                <w:sz w:val="24"/>
                <w:szCs w:val="24"/>
              </w:rPr>
              <w:t xml:space="preserve">Додатку </w:t>
            </w:r>
            <w:r>
              <w:rPr>
                <w:rFonts w:ascii="Times New Roman" w:hAnsi="Times New Roman" w:cs="Times New Roman"/>
                <w:b/>
                <w:color w:val="000000"/>
                <w:sz w:val="24"/>
                <w:szCs w:val="24"/>
              </w:rPr>
              <w:t>1</w:t>
            </w:r>
            <w:r w:rsidRPr="00402B6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AC2AF4">
            <w:pPr>
              <w:pStyle w:val="11"/>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до </w:t>
            </w:r>
            <w:r w:rsidR="00B720F9">
              <w:rPr>
                <w:rFonts w:ascii="Times New Roman" w:eastAsia="Times New Roman" w:hAnsi="Times New Roman" w:cs="Times New Roman"/>
                <w:color w:val="000000"/>
                <w:sz w:val="24"/>
                <w:szCs w:val="24"/>
              </w:rPr>
              <w:t>31</w:t>
            </w:r>
            <w:r w:rsidRPr="00AC3735">
              <w:rPr>
                <w:rFonts w:ascii="Times New Roman" w:eastAsia="Times New Roman" w:hAnsi="Times New Roman" w:cs="Times New Roman"/>
                <w:color w:val="000000"/>
                <w:sz w:val="24"/>
                <w:szCs w:val="24"/>
              </w:rPr>
              <w:t>.</w:t>
            </w:r>
            <w:r w:rsidR="00B720F9">
              <w:rPr>
                <w:rFonts w:ascii="Times New Roman" w:eastAsia="Times New Roman" w:hAnsi="Times New Roman" w:cs="Times New Roman"/>
                <w:color w:val="000000"/>
                <w:sz w:val="24"/>
                <w:szCs w:val="24"/>
              </w:rPr>
              <w:t>12</w:t>
            </w:r>
            <w:r w:rsidRPr="00AC3735">
              <w:rPr>
                <w:rFonts w:ascii="Times New Roman" w:eastAsia="Times New Roman" w:hAnsi="Times New Roman" w:cs="Times New Roman"/>
                <w:color w:val="000000"/>
                <w:sz w:val="24"/>
                <w:szCs w:val="24"/>
              </w:rPr>
              <w:t>.202</w:t>
            </w:r>
            <w:r w:rsidR="00AC2AF4">
              <w:rPr>
                <w:rFonts w:ascii="Times New Roman" w:eastAsia="Times New Roman" w:hAnsi="Times New Roman" w:cs="Times New Roman"/>
                <w:color w:val="000000"/>
                <w:sz w:val="24"/>
                <w:szCs w:val="24"/>
              </w:rPr>
              <w:t>4</w:t>
            </w:r>
            <w:r w:rsidRPr="00AC3735">
              <w:rPr>
                <w:rFonts w:ascii="Times New Roman" w:eastAsia="Times New Roman" w:hAnsi="Times New Roman" w:cs="Times New Roman"/>
                <w:color w:val="000000"/>
                <w:sz w:val="24"/>
                <w:szCs w:val="24"/>
              </w:rPr>
              <w:t xml:space="preserve"> року</w:t>
            </w:r>
            <w:r w:rsidR="00C0510C">
              <w:rPr>
                <w:rFonts w:ascii="Times New Roman" w:eastAsia="Times New Roman" w:hAnsi="Times New Roman" w:cs="Times New Roman"/>
                <w:color w:val="000000"/>
                <w:sz w:val="24"/>
                <w:szCs w:val="24"/>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Замовники забезпечують вільний доступ усіх учасників 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11"/>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Borders>
              <w:bottom w:val="single" w:sz="4" w:space="0" w:color="auto"/>
            </w:tcBorders>
            <w:vAlign w:val="center"/>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11"/>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w:t>
            </w:r>
            <w:bookmarkStart w:id="0" w:name="_GoBack"/>
            <w:bookmarkEnd w:id="0"/>
            <w:r w:rsidRPr="009A7F70">
              <w:rPr>
                <w:rFonts w:ascii="Times New Roman" w:eastAsia="Times New Roman" w:hAnsi="Times New Roman"/>
                <w:sz w:val="24"/>
                <w:szCs w:val="24"/>
                <w:lang w:eastAsia="ru-RU"/>
              </w:rPr>
              <w:t>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w:t>
            </w:r>
            <w:r w:rsidR="00D4752D" w:rsidRPr="009A7F70">
              <w:rPr>
                <w:rFonts w:ascii="Times New Roman" w:eastAsia="Times New Roman" w:hAnsi="Times New Roman"/>
                <w:sz w:val="24"/>
                <w:szCs w:val="24"/>
                <w:lang w:eastAsia="ru-RU"/>
              </w:rPr>
              <w:lastRenderedPageBreak/>
              <w:t>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D4752D" w:rsidRPr="009A7F70">
              <w:rPr>
                <w:rFonts w:ascii="Times New Roman" w:eastAsia="Times New Roman" w:hAnsi="Times New Roman"/>
                <w:sz w:val="24"/>
                <w:szCs w:val="24"/>
                <w:lang w:eastAsia="ru-RU"/>
              </w:rPr>
              <w:t>машинозчитувальному</w:t>
            </w:r>
            <w:proofErr w:type="spellEnd"/>
            <w:r w:rsidR="00D4752D" w:rsidRPr="009A7F70">
              <w:rPr>
                <w:rFonts w:ascii="Times New Roman" w:eastAsia="Times New Roman" w:hAnsi="Times New Roman"/>
                <w:sz w:val="24"/>
                <w:szCs w:val="24"/>
                <w:lang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1" w:name="n559"/>
            <w:bookmarkEnd w:id="1"/>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AC3735">
              <w:rPr>
                <w:rFonts w:ascii="Times New Roman" w:eastAsia="Times New Roman" w:hAnsi="Times New Roman" w:cs="Times New Roman"/>
                <w:color w:val="000000"/>
                <w:sz w:val="24"/>
                <w:szCs w:val="24"/>
              </w:rPr>
              <w:t>скан-копій</w:t>
            </w:r>
            <w:proofErr w:type="spellEnd"/>
            <w:r w:rsidRPr="00AC3735">
              <w:rPr>
                <w:rFonts w:ascii="Times New Roman" w:eastAsia="Times New Roman" w:hAnsi="Times New Roman" w:cs="Times New Roman"/>
                <w:color w:val="000000"/>
                <w:sz w:val="24"/>
                <w:szCs w:val="24"/>
              </w:rPr>
              <w:t xml:space="preserve"> придатних для </w:t>
            </w:r>
            <w:proofErr w:type="spellStart"/>
            <w:r w:rsidRPr="00AC3735">
              <w:rPr>
                <w:rFonts w:ascii="Times New Roman" w:eastAsia="Times New Roman" w:hAnsi="Times New Roman" w:cs="Times New Roman"/>
                <w:color w:val="000000"/>
                <w:sz w:val="24"/>
                <w:szCs w:val="24"/>
              </w:rPr>
              <w:t>машинозчитування</w:t>
            </w:r>
            <w:proofErr w:type="spellEnd"/>
            <w:r w:rsidRPr="00AC3735">
              <w:rPr>
                <w:rFonts w:ascii="Times New Roman" w:eastAsia="Times New Roman" w:hAnsi="Times New Roman" w:cs="Times New Roman"/>
                <w:color w:val="000000"/>
                <w:sz w:val="24"/>
                <w:szCs w:val="24"/>
              </w:rPr>
              <w:t xml:space="preserve"> (файли з розширенням «..</w:t>
            </w:r>
            <w:proofErr w:type="spellStart"/>
            <w:r w:rsidRPr="00AC3735">
              <w:rPr>
                <w:rFonts w:ascii="Times New Roman" w:eastAsia="Times New Roman" w:hAnsi="Times New Roman" w:cs="Times New Roman"/>
                <w:color w:val="000000"/>
                <w:sz w:val="24"/>
                <w:szCs w:val="24"/>
              </w:rPr>
              <w:t>pdf</w:t>
            </w:r>
            <w:proofErr w:type="spellEnd"/>
            <w:r w:rsidRPr="00AC3735">
              <w:rPr>
                <w:rFonts w:ascii="Times New Roman" w:eastAsia="Times New Roman" w:hAnsi="Times New Roman" w:cs="Times New Roman"/>
                <w:color w:val="000000"/>
                <w:sz w:val="24"/>
                <w:szCs w:val="24"/>
              </w:rPr>
              <w:t>.», «..</w:t>
            </w:r>
            <w:proofErr w:type="spellStart"/>
            <w:r w:rsidRPr="00AC3735">
              <w:rPr>
                <w:rFonts w:ascii="Times New Roman" w:eastAsia="Times New Roman" w:hAnsi="Times New Roman" w:cs="Times New Roman"/>
                <w:color w:val="000000"/>
                <w:sz w:val="24"/>
                <w:szCs w:val="24"/>
              </w:rPr>
              <w:t>jpeg</w:t>
            </w:r>
            <w:proofErr w:type="spellEnd"/>
            <w:r w:rsidRPr="00AC3735">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C3735">
              <w:rPr>
                <w:rFonts w:ascii="Times New Roman" w:eastAsia="Times New Roman" w:hAnsi="Times New Roman" w:cs="Times New Roman"/>
                <w:color w:val="000000"/>
                <w:sz w:val="24"/>
                <w:szCs w:val="24"/>
              </w:rPr>
              <w:t>скан-копії</w:t>
            </w:r>
            <w:proofErr w:type="spellEnd"/>
            <w:r w:rsidRPr="00AC3735">
              <w:rPr>
                <w:rFonts w:ascii="Times New Roman" w:eastAsia="Times New Roman" w:hAnsi="Times New Roman" w:cs="Times New Roman"/>
                <w:color w:val="000000"/>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w:t>
            </w:r>
            <w:r w:rsidRPr="00AC3735">
              <w:rPr>
                <w:rFonts w:ascii="Times New Roman" w:eastAsia="Times New Roman" w:hAnsi="Times New Roman" w:cs="Times New Roman"/>
                <w:color w:val="000000"/>
                <w:sz w:val="24"/>
                <w:szCs w:val="24"/>
              </w:rPr>
              <w:lastRenderedPageBreak/>
              <w:t>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11"/>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11"/>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 xml:space="preserve">погодитися з вимогою та продовжити строк дії поданої ним тендерної пропозиції і наданого </w:t>
            </w:r>
            <w:r w:rsidRPr="00F64330">
              <w:rPr>
                <w:rFonts w:ascii="Times New Roman" w:eastAsia="Times New Roman" w:hAnsi="Times New Roman"/>
                <w:sz w:val="24"/>
                <w:szCs w:val="24"/>
                <w:lang w:eastAsia="ru-RU"/>
              </w:rPr>
              <w:lastRenderedPageBreak/>
              <w:t>забезпечення тендерної пропозиції.</w:t>
            </w:r>
          </w:p>
          <w:p w:rsidR="00AC3735" w:rsidRPr="00AC3735" w:rsidRDefault="00F64330"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EC74C3" w:rsidRPr="008C55A1" w:rsidRDefault="00896ED1" w:rsidP="00EC74C3">
            <w:pPr>
              <w:pStyle w:val="11"/>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w:t>
            </w:r>
            <w:r w:rsidR="00EC74C3"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P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3A52" w:rsidRDefault="00292CA3" w:rsidP="00292CA3">
            <w:pPr>
              <w:jc w:val="both"/>
              <w:rPr>
                <w:rStyle w:val="rvts0"/>
                <w:rFonts w:ascii="Times New Roman" w:hAnsi="Times New Roman" w:cs="Times New Roman"/>
                <w:sz w:val="24"/>
                <w:szCs w:val="24"/>
              </w:rPr>
            </w:pPr>
            <w:r>
              <w:rPr>
                <w:rFonts w:ascii="Times New Roman" w:hAnsi="Times New Roman"/>
                <w:color w:val="000000"/>
                <w:sz w:val="24"/>
                <w:szCs w:val="24"/>
                <w:shd w:val="solid" w:color="FFFFFF" w:fill="FFFFFF"/>
                <w:lang w:eastAsia="en-US"/>
              </w:rPr>
              <w:t xml:space="preserve">5.5. </w:t>
            </w:r>
            <w:r w:rsidR="00AF3A52" w:rsidRPr="00AF3A52">
              <w:rPr>
                <w:rStyle w:val="rvts0"/>
                <w:rFonts w:ascii="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2" w:anchor="n1257" w:tgtFrame="_blank" w:history="1">
              <w:r w:rsidR="00AF3A52" w:rsidRPr="00AF3A52">
                <w:rPr>
                  <w:rStyle w:val="aa"/>
                  <w:rFonts w:ascii="Times New Roman" w:hAnsi="Times New Roman" w:cs="Times New Roman"/>
                  <w:color w:val="auto"/>
                  <w:sz w:val="24"/>
                  <w:szCs w:val="24"/>
                  <w:u w:val="none"/>
                </w:rPr>
                <w:t>частини третьої</w:t>
              </w:r>
            </w:hyperlink>
            <w:r w:rsidR="00AF3A52" w:rsidRPr="00AF3A52">
              <w:rPr>
                <w:rStyle w:val="rvts0"/>
                <w:rFonts w:ascii="Times New Roman" w:hAnsi="Times New Roman" w:cs="Times New Roman"/>
                <w:sz w:val="24"/>
                <w:szCs w:val="24"/>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05DEB" w:rsidRPr="00705DEB" w:rsidRDefault="00705DEB" w:rsidP="00705DEB">
            <w:pPr>
              <w:pStyle w:val="rvps2"/>
              <w:spacing w:before="0" w:beforeAutospacing="0" w:after="0" w:afterAutospacing="0"/>
              <w:jc w:val="both"/>
            </w:pPr>
            <w:bookmarkStart w:id="2" w:name="n616"/>
            <w:bookmarkEnd w:id="2"/>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w:t>
            </w:r>
            <w:r w:rsidRPr="00705DEB">
              <w:lastRenderedPageBreak/>
              <w:t>(посадовій)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3" w:name="n617"/>
            <w:bookmarkEnd w:id="3"/>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4" w:name="n618"/>
            <w:bookmarkEnd w:id="4"/>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5" w:name="n619"/>
            <w:bookmarkEnd w:id="5"/>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3" w:anchor="n52" w:tgtFrame="_blank" w:history="1">
              <w:r w:rsidRPr="00705DEB">
                <w:rPr>
                  <w:rStyle w:val="aa"/>
                  <w:color w:val="auto"/>
                  <w:u w:val="none"/>
                </w:rPr>
                <w:t>пунктом</w:t>
              </w:r>
            </w:hyperlink>
            <w:hyperlink r:id="rId24" w:anchor="n52" w:tgtFrame="_blank" w:history="1">
              <w:r w:rsidRPr="00705DEB">
                <w:rPr>
                  <w:rStyle w:val="aa"/>
                  <w:color w:val="auto"/>
                  <w:u w:val="none"/>
                </w:rPr>
                <w:t xml:space="preserve"> 4</w:t>
              </w:r>
            </w:hyperlink>
            <w:r w:rsidRPr="00705DEB">
              <w:t xml:space="preserve"> частини другої статті 6, </w:t>
            </w:r>
            <w:hyperlink r:id="rId25" w:anchor="n456" w:tgtFrame="_blank" w:history="1">
              <w:r w:rsidRPr="00705DEB">
                <w:rPr>
                  <w:rStyle w:val="aa"/>
                  <w:color w:val="auto"/>
                  <w:u w:val="none"/>
                </w:rPr>
                <w:t>пунктом 1</w:t>
              </w:r>
            </w:hyperlink>
            <w:r w:rsidRPr="00705DEB">
              <w:t xml:space="preserve"> статті 50 Закону України </w:t>
            </w:r>
            <w:proofErr w:type="spellStart"/>
            <w:r w:rsidRPr="00705DEB">
              <w:t>“Про</w:t>
            </w:r>
            <w:proofErr w:type="spellEnd"/>
            <w:r w:rsidRPr="00705DEB">
              <w:t xml:space="preserve"> захист економічної </w:t>
            </w:r>
            <w:proofErr w:type="spellStart"/>
            <w:r w:rsidRPr="00705DEB">
              <w:t>конкуренції”</w:t>
            </w:r>
            <w:proofErr w:type="spellEnd"/>
            <w:r w:rsidRPr="00705DEB">
              <w:t xml:space="preserve">, у вигляді вчинення </w:t>
            </w:r>
            <w:proofErr w:type="spellStart"/>
            <w:r w:rsidRPr="00705DEB">
              <w:t>антиконкурентних</w:t>
            </w:r>
            <w:proofErr w:type="spellEnd"/>
            <w:r w:rsidRPr="00705DEB">
              <w:t xml:space="preserve">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6" w:name="n620"/>
            <w:bookmarkEnd w:id="6"/>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1"/>
            <w:bookmarkEnd w:id="7"/>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8" w:name="n622"/>
            <w:bookmarkEnd w:id="8"/>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9" w:name="n623"/>
            <w:bookmarkEnd w:id="9"/>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10" w:name="n624"/>
            <w:bookmarkEnd w:id="10"/>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6" w:anchor="n174" w:tgtFrame="_blank" w:history="1">
              <w:r w:rsidRPr="00705DEB">
                <w:rPr>
                  <w:rStyle w:val="aa"/>
                  <w:color w:val="auto"/>
                  <w:u w:val="none"/>
                </w:rPr>
                <w:t>пунктом 9</w:t>
              </w:r>
            </w:hyperlink>
            <w:r w:rsidRPr="00705DEB">
              <w:t xml:space="preserve"> частини другої статті 9 Закону України </w:t>
            </w:r>
            <w:proofErr w:type="spellStart"/>
            <w:r w:rsidRPr="00705DEB">
              <w:t>“Про</w:t>
            </w:r>
            <w:proofErr w:type="spellEnd"/>
            <w:r w:rsidRPr="00705DEB">
              <w:t xml:space="preserve"> державну реєстрацію юридичних осіб, фізичних осіб - підприємців та громадських </w:t>
            </w:r>
            <w:proofErr w:type="spellStart"/>
            <w:r w:rsidRPr="00705DEB">
              <w:t>формувань”</w:t>
            </w:r>
            <w:proofErr w:type="spellEnd"/>
            <w:r w:rsidRPr="00705DEB">
              <w:t xml:space="preserve"> (крім нерезидентів);</w:t>
            </w:r>
          </w:p>
          <w:p w:rsidR="00705DEB" w:rsidRPr="00705DEB" w:rsidRDefault="00705DEB" w:rsidP="00705DEB">
            <w:pPr>
              <w:pStyle w:val="rvps2"/>
              <w:spacing w:before="0" w:beforeAutospacing="0" w:after="0" w:afterAutospacing="0"/>
              <w:jc w:val="both"/>
            </w:pPr>
            <w:bookmarkStart w:id="11" w:name="n625"/>
            <w:bookmarkEnd w:id="11"/>
            <w:r w:rsidRPr="00705DEB">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w:t>
            </w:r>
            <w:r w:rsidRPr="00705DEB">
              <w:lastRenderedPageBreak/>
              <w:t>товару (товарів), послуги (послуг) або робіт дорівнює чи перевищує 20 млн. гривень (у тому числі за лотом);</w:t>
            </w:r>
          </w:p>
          <w:p w:rsidR="00C0510C" w:rsidRDefault="00705DEB" w:rsidP="00705DEB">
            <w:pPr>
              <w:pStyle w:val="rvps2"/>
              <w:spacing w:before="0" w:beforeAutospacing="0" w:after="0" w:afterAutospacing="0"/>
              <w:jc w:val="both"/>
            </w:pPr>
            <w:bookmarkStart w:id="12" w:name="n626"/>
            <w:bookmarkEnd w:id="12"/>
            <w:r w:rsidRPr="00705DEB">
              <w:t xml:space="preserve"> - </w:t>
            </w:r>
            <w:r w:rsidR="00C0510C">
              <w:rPr>
                <w:rStyle w:val="rvts0"/>
              </w:rPr>
              <w:t xml:space="preserve">учасник процедури закупівлі або кінцевий </w:t>
            </w:r>
            <w:proofErr w:type="spellStart"/>
            <w:r w:rsidR="00C0510C">
              <w:rPr>
                <w:rStyle w:val="rvts0"/>
              </w:rPr>
              <w:t>бенефіціарний</w:t>
            </w:r>
            <w:proofErr w:type="spellEnd"/>
            <w:r w:rsidR="00C0510C">
              <w:rPr>
                <w:rStyle w:val="rvts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27" w:tgtFrame="_blank" w:history="1">
              <w:r w:rsidR="00C0510C" w:rsidRPr="00C0510C">
                <w:rPr>
                  <w:rStyle w:val="aa"/>
                  <w:color w:val="auto"/>
                  <w:u w:val="none"/>
                </w:rPr>
                <w:t>Законом України</w:t>
              </w:r>
            </w:hyperlink>
            <w:r w:rsidR="00C0510C" w:rsidRPr="00C0510C">
              <w:rPr>
                <w:rStyle w:val="rvts0"/>
              </w:rPr>
              <w:t xml:space="preserve"> </w:t>
            </w:r>
            <w:proofErr w:type="spellStart"/>
            <w:r w:rsidR="00C0510C">
              <w:rPr>
                <w:rStyle w:val="rvts0"/>
              </w:rPr>
              <w:t>“Про</w:t>
            </w:r>
            <w:proofErr w:type="spellEnd"/>
            <w:r w:rsidR="00C0510C">
              <w:rPr>
                <w:rStyle w:val="rvts0"/>
              </w:rPr>
              <w:t xml:space="preserve"> </w:t>
            </w:r>
            <w:proofErr w:type="spellStart"/>
            <w:r w:rsidR="00C0510C">
              <w:rPr>
                <w:rStyle w:val="rvts0"/>
              </w:rPr>
              <w:t>санкції”</w:t>
            </w:r>
            <w:proofErr w:type="spellEnd"/>
            <w:r w:rsidR="00C0510C">
              <w:rPr>
                <w:rStyle w:val="rvts0"/>
              </w:rPr>
              <w:t>, крім випадку, коли активи такої особи в установленому законодавством порядку передані в управління АРМА;</w:t>
            </w:r>
          </w:p>
          <w:p w:rsidR="00705DEB" w:rsidRPr="00705DEB" w:rsidRDefault="00705DEB" w:rsidP="00705DEB">
            <w:pPr>
              <w:pStyle w:val="rvps2"/>
              <w:spacing w:before="0" w:beforeAutospacing="0" w:after="0" w:afterAutospacing="0"/>
              <w:jc w:val="both"/>
            </w:pPr>
            <w:r w:rsidRPr="00705DEB">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8"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9"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30"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1"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2"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3"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proofErr w:type="spellStart"/>
            <w:r w:rsidR="002F339A" w:rsidRPr="002F339A">
              <w:rPr>
                <w:rStyle w:val="rvts0"/>
                <w:rFonts w:ascii="Times New Roman" w:hAnsi="Times New Roman" w:cs="Times New Roman"/>
                <w:sz w:val="24"/>
                <w:szCs w:val="24"/>
              </w:rPr>
              <w:t>“Про</w:t>
            </w:r>
            <w:proofErr w:type="spellEnd"/>
            <w:r w:rsidR="002F339A" w:rsidRPr="002F339A">
              <w:rPr>
                <w:rStyle w:val="rvts0"/>
                <w:rFonts w:ascii="Times New Roman" w:hAnsi="Times New Roman" w:cs="Times New Roman"/>
                <w:sz w:val="24"/>
                <w:szCs w:val="24"/>
              </w:rPr>
              <w:t xml:space="preserve"> доступ до публічної </w:t>
            </w:r>
            <w:proofErr w:type="spellStart"/>
            <w:r w:rsidR="002F339A" w:rsidRPr="002F339A">
              <w:rPr>
                <w:rStyle w:val="rvts0"/>
                <w:rFonts w:ascii="Times New Roman" w:hAnsi="Times New Roman" w:cs="Times New Roman"/>
                <w:sz w:val="24"/>
                <w:szCs w:val="24"/>
              </w:rPr>
              <w:t>інформації”</w:t>
            </w:r>
            <w:proofErr w:type="spellEnd"/>
            <w:r w:rsidR="002F339A" w:rsidRPr="002F339A">
              <w:rPr>
                <w:rStyle w:val="rvts0"/>
                <w:rFonts w:ascii="Times New Roman" w:hAnsi="Times New Roman" w:cs="Times New Roman"/>
                <w:sz w:val="24"/>
                <w:szCs w:val="24"/>
              </w:rPr>
              <w:t xml:space="preserve"> та/або міститься у відкритих публічних електронних реєстрах, доступ до </w:t>
            </w:r>
            <w:r w:rsidR="002F339A" w:rsidRPr="002F339A">
              <w:rPr>
                <w:rStyle w:val="rvts0"/>
                <w:rFonts w:ascii="Times New Roman" w:hAnsi="Times New Roman" w:cs="Times New Roman"/>
                <w:sz w:val="24"/>
                <w:szCs w:val="24"/>
              </w:rPr>
              <w:lastRenderedPageBreak/>
              <w:t>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4"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5"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6"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7"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8"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w:t>
            </w:r>
            <w:r w:rsidRPr="00AC3735">
              <w:rPr>
                <w:rFonts w:ascii="Times New Roman" w:eastAsia="Times New Roman" w:hAnsi="Times New Roman" w:cs="Times New Roman"/>
                <w:color w:val="000000"/>
                <w:sz w:val="24"/>
                <w:szCs w:val="24"/>
              </w:rPr>
              <w:lastRenderedPageBreak/>
              <w:t xml:space="preserve">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A15532">
              <w:rPr>
                <w:rFonts w:ascii="Times New Roman" w:eastAsia="Times New Roman" w:hAnsi="Times New Roman" w:cs="Times New Roman"/>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8</w:t>
            </w:r>
          </w:p>
        </w:tc>
        <w:tc>
          <w:tcPr>
            <w:tcW w:w="3437" w:type="dxa"/>
            <w:tcBorders>
              <w:bottom w:val="single" w:sz="4" w:space="0" w:color="auto"/>
            </w:tcBorders>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11"/>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11"/>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11"/>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9"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40"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1"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2" w:anchor="n584" w:history="1">
              <w:r w:rsidR="00F02899" w:rsidRPr="00F02899">
                <w:rPr>
                  <w:rStyle w:val="aa"/>
                  <w:rFonts w:ascii="Times New Roman" w:hAnsi="Times New Roman" w:cs="Times New Roman"/>
                  <w:color w:val="auto"/>
                  <w:sz w:val="24"/>
                  <w:szCs w:val="24"/>
                  <w:u w:val="none"/>
                </w:rPr>
                <w:t>пунктом 40</w:t>
              </w:r>
            </w:hyperlink>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3"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4"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5"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6"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7"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8"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9"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50"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1"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2"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3" w:anchor="n588" w:history="1">
              <w:r w:rsidRPr="00F02899">
                <w:rPr>
                  <w:rStyle w:val="aa"/>
                  <w:rFonts w:ascii="Times New Roman" w:hAnsi="Times New Roman" w:cs="Times New Roman"/>
                  <w:color w:val="auto"/>
                  <w:sz w:val="24"/>
                  <w:szCs w:val="24"/>
                  <w:u w:val="none"/>
                </w:rPr>
                <w:t>пункту 43</w:t>
              </w:r>
            </w:hyperlink>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4"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5"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6" w:anchor="n584" w:history="1">
              <w:r w:rsidRPr="00C4095A">
                <w:rPr>
                  <w:rStyle w:val="aa"/>
                  <w:color w:val="auto"/>
                  <w:u w:val="none"/>
                </w:rPr>
                <w:t>пунктом 40</w:t>
              </w:r>
            </w:hyperlink>
            <w:r>
              <w:t>О</w:t>
            </w:r>
            <w:r w:rsidRPr="00C4095A">
              <w:t xml:space="preserve">собливостей), зазначена в тендерній пропозиції (тендерних пропозиціях), у тому числі інформація про </w:t>
            </w:r>
            <w:r w:rsidRPr="00C4095A">
              <w:lastRenderedPageBreak/>
              <w:t xml:space="preserve">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7" w:anchor="n1499" w:tgtFrame="_blank" w:history="1">
              <w:r w:rsidRPr="00C4095A">
                <w:rPr>
                  <w:rStyle w:val="aa"/>
                  <w:color w:val="auto"/>
                  <w:u w:val="none"/>
                </w:rPr>
                <w:t>третьої</w:t>
              </w:r>
            </w:hyperlink>
            <w:r w:rsidRPr="00C4095A">
              <w:t xml:space="preserve"> та </w:t>
            </w:r>
            <w:hyperlink r:id="rId58"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11"/>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11"/>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w:t>
            </w:r>
            <w:proofErr w:type="spellStart"/>
            <w:r w:rsidRPr="00AC3735">
              <w:rPr>
                <w:rFonts w:ascii="Times New Roman" w:hAnsi="Times New Roman" w:cs="Times New Roman"/>
                <w:i/>
                <w:sz w:val="24"/>
                <w:szCs w:val="24"/>
              </w:rPr>
              <w:t>“Про</w:t>
            </w:r>
            <w:proofErr w:type="spellEnd"/>
            <w:r w:rsidRPr="00AC3735">
              <w:rPr>
                <w:rFonts w:ascii="Times New Roman" w:hAnsi="Times New Roman" w:cs="Times New Roman"/>
                <w:i/>
                <w:sz w:val="24"/>
                <w:szCs w:val="24"/>
              </w:rPr>
              <w:t xml:space="preserve"> затвердження Переліку формальних </w:t>
            </w:r>
            <w:proofErr w:type="spellStart"/>
            <w:r w:rsidRPr="00AC3735">
              <w:rPr>
                <w:rFonts w:ascii="Times New Roman" w:hAnsi="Times New Roman" w:cs="Times New Roman"/>
                <w:i/>
                <w:sz w:val="24"/>
                <w:szCs w:val="24"/>
              </w:rPr>
              <w:t>помилок”</w:t>
            </w:r>
            <w:proofErr w:type="spellEnd"/>
            <w:r w:rsidRPr="00AC3735">
              <w:rPr>
                <w:rFonts w:ascii="Times New Roman" w:hAnsi="Times New Roman" w:cs="Times New Roman"/>
                <w:i/>
                <w:sz w:val="24"/>
                <w:szCs w:val="24"/>
              </w:rPr>
              <w:t xml:space="preserve">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AC3735">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w:t>
            </w:r>
            <w:r w:rsidRPr="00AC3735">
              <w:rPr>
                <w:rFonts w:ascii="Times New Roman" w:hAnsi="Times New Roman" w:cs="Times New Roman"/>
                <w:sz w:val="24"/>
                <w:szCs w:val="24"/>
              </w:rPr>
              <w:lastRenderedPageBreak/>
              <w:t>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м.Київ</w:t>
            </w:r>
            <w:proofErr w:type="spellEnd"/>
            <w:r w:rsidRPr="00AC3735">
              <w:rPr>
                <w:rFonts w:ascii="Times New Roman" w:hAnsi="Times New Roman" w:cs="Times New Roman"/>
                <w:i/>
                <w:sz w:val="24"/>
                <w:szCs w:val="24"/>
              </w:rPr>
              <w:t>»;</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w:t>
            </w:r>
            <w:proofErr w:type="spellStart"/>
            <w:r w:rsidRPr="00AC3735">
              <w:rPr>
                <w:rFonts w:ascii="Times New Roman" w:hAnsi="Times New Roman" w:cs="Times New Roman"/>
                <w:i/>
                <w:sz w:val="24"/>
                <w:szCs w:val="24"/>
              </w:rPr>
              <w:t>ок</w:t>
            </w:r>
            <w:proofErr w:type="spellEnd"/>
            <w:r w:rsidRPr="00AC3735">
              <w:rPr>
                <w:rFonts w:ascii="Times New Roman" w:hAnsi="Times New Roman" w:cs="Times New Roman"/>
                <w:i/>
                <w:sz w:val="24"/>
                <w:szCs w:val="24"/>
              </w:rPr>
              <w:t>» замість «</w:t>
            </w:r>
            <w:proofErr w:type="spellStart"/>
            <w:r w:rsidRPr="00AC3735">
              <w:rPr>
                <w:rFonts w:ascii="Times New Roman" w:hAnsi="Times New Roman" w:cs="Times New Roman"/>
                <w:i/>
                <w:sz w:val="24"/>
                <w:szCs w:val="24"/>
              </w:rPr>
              <w:t>поря</w:t>
            </w:r>
            <w:proofErr w:type="spellEnd"/>
            <w:r w:rsidRPr="00AC3735">
              <w:rPr>
                <w:rFonts w:ascii="Times New Roman" w:hAnsi="Times New Roman" w:cs="Times New Roman"/>
                <w:i/>
                <w:sz w:val="24"/>
                <w:szCs w:val="24"/>
              </w:rPr>
              <w:t xml:space="preserve">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ненадається</w:t>
            </w:r>
            <w:proofErr w:type="spellEnd"/>
            <w:r w:rsidRPr="00AC3735">
              <w:rPr>
                <w:rFonts w:ascii="Times New Roman" w:hAnsi="Times New Roman" w:cs="Times New Roman"/>
                <w:i/>
                <w:sz w:val="24"/>
                <w:szCs w:val="24"/>
              </w:rPr>
              <w:t>»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w:t>
            </w:r>
            <w:proofErr w:type="spellStart"/>
            <w:r w:rsidRPr="00AC3735">
              <w:rPr>
                <w:rFonts w:ascii="Times New Roman" w:hAnsi="Times New Roman" w:cs="Times New Roman"/>
                <w:i/>
                <w:sz w:val="24"/>
                <w:szCs w:val="24"/>
              </w:rPr>
              <w:t>pdf</w:t>
            </w:r>
            <w:proofErr w:type="spellEnd"/>
            <w:r w:rsidRPr="00AC3735">
              <w:rPr>
                <w:rFonts w:ascii="Times New Roman" w:hAnsi="Times New Roman" w:cs="Times New Roman"/>
                <w:i/>
                <w:sz w:val="24"/>
                <w:szCs w:val="24"/>
              </w:rPr>
              <w:t>» (</w:t>
            </w:r>
            <w:proofErr w:type="spellStart"/>
            <w:r w:rsidRPr="00AC3735">
              <w:rPr>
                <w:rFonts w:ascii="Times New Roman" w:hAnsi="Times New Roman" w:cs="Times New Roman"/>
                <w:i/>
                <w:sz w:val="24"/>
                <w:szCs w:val="24"/>
              </w:rPr>
              <w:t>PortableDocumentFormat</w:t>
            </w:r>
            <w:proofErr w:type="spellEnd"/>
            <w:r w:rsidRPr="00AC3735">
              <w:rPr>
                <w:rFonts w:ascii="Times New Roman" w:hAnsi="Times New Roman" w:cs="Times New Roman"/>
                <w:i/>
                <w:sz w:val="24"/>
                <w:szCs w:val="24"/>
              </w:rPr>
              <w: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11"/>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11"/>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sidRPr="00AF3A52">
              <w:rPr>
                <w:rStyle w:val="rvts0"/>
                <w:rFonts w:ascii="Times New Roman" w:hAnsi="Times New Roman" w:cs="Times New Roman"/>
                <w:sz w:val="24"/>
                <w:szCs w:val="24"/>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(терміном </w:t>
            </w:r>
            <w:proofErr w:type="spellStart"/>
            <w:r w:rsidR="008A2F9C" w:rsidRPr="008A2F9C">
              <w:rPr>
                <w:rStyle w:val="rvts0"/>
                <w:rFonts w:ascii="Times New Roman" w:hAnsi="Times New Roman" w:cs="Times New Roman"/>
                <w:sz w:val="24"/>
                <w:szCs w:val="24"/>
              </w:rPr>
              <w:t>“аномально</w:t>
            </w:r>
            <w:proofErr w:type="spellEnd"/>
            <w:r w:rsidR="008A2F9C" w:rsidRPr="008A2F9C">
              <w:rPr>
                <w:rStyle w:val="rvts0"/>
                <w:rFonts w:ascii="Times New Roman" w:hAnsi="Times New Roman" w:cs="Times New Roman"/>
                <w:sz w:val="24"/>
                <w:szCs w:val="24"/>
              </w:rPr>
              <w:t xml:space="preserve"> низька ціна тендерної </w:t>
            </w:r>
            <w:proofErr w:type="spellStart"/>
            <w:r w:rsidR="008A2F9C" w:rsidRPr="008A2F9C">
              <w:rPr>
                <w:rStyle w:val="rvts0"/>
                <w:rFonts w:ascii="Times New Roman" w:hAnsi="Times New Roman" w:cs="Times New Roman"/>
                <w:sz w:val="24"/>
                <w:szCs w:val="24"/>
              </w:rPr>
              <w:t>пропозиції”</w:t>
            </w:r>
            <w:proofErr w:type="spellEnd"/>
            <w:r w:rsidR="008A2F9C" w:rsidRPr="008A2F9C">
              <w:rPr>
                <w:rStyle w:val="rvts0"/>
                <w:rFonts w:ascii="Times New Roman" w:hAnsi="Times New Roman" w:cs="Times New Roman"/>
                <w:sz w:val="24"/>
                <w:szCs w:val="24"/>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59"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60" w:anchor="n159" w:history="1">
              <w:r w:rsidRPr="00B93464">
                <w:rPr>
                  <w:rStyle w:val="aa"/>
                  <w:color w:val="auto"/>
                  <w:u w:val="none"/>
                </w:rPr>
                <w:t>пунктом 4</w:t>
              </w:r>
            </w:hyperlink>
            <w:r w:rsidR="00463D0F">
              <w:t>7</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1" w:anchor="n615" w:history="1">
              <w:r w:rsidRPr="004B553E">
                <w:rPr>
                  <w:rStyle w:val="aa"/>
                  <w:color w:val="auto"/>
                  <w:u w:val="none"/>
                </w:rPr>
                <w:t>пунктом 47</w:t>
              </w:r>
            </w:hyperlink>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3"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4"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5" w:anchor="n584" w:history="1">
              <w:r w:rsidRPr="004B553E">
                <w:rPr>
                  <w:rStyle w:val="aa"/>
                  <w:color w:val="auto"/>
                  <w:u w:val="none"/>
                </w:rPr>
                <w:t>пункту 40</w:t>
              </w:r>
            </w:hyperlink>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4B553E">
              <w:t>бенефіціарним</w:t>
            </w:r>
            <w:proofErr w:type="spellEnd"/>
            <w:r w:rsidRPr="004B553E">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w:t>
            </w:r>
            <w:r w:rsidRPr="004B553E">
              <w:lastRenderedPageBreak/>
              <w:t xml:space="preserve">жовтня 2022 р. № 1178 </w:t>
            </w:r>
            <w:proofErr w:type="spellStart"/>
            <w:r w:rsidRPr="004B553E">
              <w:t>“Про</w:t>
            </w:r>
            <w:proofErr w:type="spellEnd"/>
            <w:r w:rsidRPr="004B553E">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4B553E">
              <w:t>“Про</w:t>
            </w:r>
            <w:proofErr w:type="spellEnd"/>
            <w:r w:rsidRPr="004B553E">
              <w:t xml:space="preserve"> публічні </w:t>
            </w:r>
            <w:proofErr w:type="spellStart"/>
            <w:r w:rsidRPr="004B553E">
              <w:t>закупівлі”</w:t>
            </w:r>
            <w:proofErr w:type="spellEnd"/>
            <w:r w:rsidRPr="004B553E">
              <w:t>, на період дії правового режиму воєнного стану в Україні та протягом 90 днів з дня й</w:t>
            </w:r>
            <w:r>
              <w:t xml:space="preserve">ого припинення або </w:t>
            </w:r>
            <w:proofErr w:type="spellStart"/>
            <w:r>
              <w:t>скасування”</w:t>
            </w:r>
            <w:proofErr w:type="spellEnd"/>
            <w:r>
              <w:t>;</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6" w:anchor="n588" w:history="1">
              <w:r w:rsidRPr="004B553E">
                <w:rPr>
                  <w:rStyle w:val="aa"/>
                  <w:color w:val="auto"/>
                  <w:u w:val="none"/>
                </w:rPr>
                <w:t>пункту 43</w:t>
              </w:r>
            </w:hyperlink>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7"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8" w:anchor="n618" w:history="1">
              <w:r w:rsidRPr="004B553E">
                <w:rPr>
                  <w:rStyle w:val="aa"/>
                  <w:color w:val="auto"/>
                  <w:u w:val="none"/>
                </w:rPr>
                <w:t>підпунктах 3</w:t>
              </w:r>
            </w:hyperlink>
            <w:r w:rsidRPr="004B553E">
              <w:t xml:space="preserve">, </w:t>
            </w:r>
            <w:hyperlink r:id="rId69" w:anchor="n620" w:history="1">
              <w:r w:rsidRPr="004B553E">
                <w:rPr>
                  <w:rStyle w:val="aa"/>
                  <w:color w:val="auto"/>
                  <w:u w:val="none"/>
                </w:rPr>
                <w:t>5</w:t>
              </w:r>
            </w:hyperlink>
            <w:r w:rsidRPr="004B553E">
              <w:t xml:space="preserve">, </w:t>
            </w:r>
            <w:hyperlink r:id="rId70" w:anchor="n621" w:history="1">
              <w:r w:rsidRPr="004B553E">
                <w:rPr>
                  <w:rStyle w:val="aa"/>
                  <w:color w:val="auto"/>
                  <w:u w:val="none"/>
                </w:rPr>
                <w:t>6</w:t>
              </w:r>
            </w:hyperlink>
            <w:r w:rsidRPr="004B553E">
              <w:t xml:space="preserve"> і </w:t>
            </w:r>
            <w:hyperlink r:id="rId71" w:anchor="n627" w:history="1">
              <w:r w:rsidRPr="004B553E">
                <w:rPr>
                  <w:rStyle w:val="aa"/>
                  <w:color w:val="auto"/>
                  <w:u w:val="none"/>
                </w:rPr>
                <w:t>12</w:t>
              </w:r>
            </w:hyperlink>
            <w:r w:rsidRPr="004B553E">
              <w:t xml:space="preserve"> та в </w:t>
            </w:r>
            <w:hyperlink r:id="rId72"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3"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4.2. Замовник може відхилити тендерну пропозицію із 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 xml:space="preserve">2) учасник процедури закупівлі не виконав свої </w:t>
            </w:r>
            <w: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4"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11"/>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5"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6" w:anchor="n38" w:history="1">
              <w:r w:rsidR="00CE4266" w:rsidRPr="00CE4266">
                <w:rPr>
                  <w:rStyle w:val="aa"/>
                  <w:rFonts w:ascii="Times New Roman" w:hAnsi="Times New Roman" w:cs="Times New Roman"/>
                  <w:color w:val="auto"/>
                  <w:sz w:val="24"/>
                  <w:szCs w:val="24"/>
                  <w:u w:val="none"/>
                </w:rPr>
                <w:t>13</w:t>
              </w:r>
            </w:hyperlink>
            <w:r w:rsidR="000A2D32">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7"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8"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9"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80"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1"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lastRenderedPageBreak/>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2"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3"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4"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11"/>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1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11"/>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5"/>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928" w:rsidRDefault="00D27928" w:rsidP="000F7E64">
      <w:pPr>
        <w:spacing w:after="0" w:line="240" w:lineRule="auto"/>
      </w:pPr>
      <w:r>
        <w:separator/>
      </w:r>
    </w:p>
  </w:endnote>
  <w:endnote w:type="continuationSeparator" w:id="1">
    <w:p w:rsidR="00D27928" w:rsidRDefault="00D27928"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928" w:rsidRDefault="00D27928" w:rsidP="000F7E64">
      <w:pPr>
        <w:spacing w:after="0" w:line="240" w:lineRule="auto"/>
      </w:pPr>
      <w:r>
        <w:separator/>
      </w:r>
    </w:p>
  </w:footnote>
  <w:footnote w:type="continuationSeparator" w:id="1">
    <w:p w:rsidR="00D27928" w:rsidRDefault="00D27928"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210" w:rsidRDefault="005165BE">
    <w:pPr>
      <w:pStyle w:val="11"/>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6A4210">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027680">
      <w:rPr>
        <w:rFonts w:ascii="Times New Roman" w:eastAsia="Times New Roman" w:hAnsi="Times New Roman" w:cs="Times New Roman"/>
        <w:noProof/>
        <w:color w:val="000000"/>
        <w:sz w:val="28"/>
        <w:szCs w:val="28"/>
      </w:rPr>
      <w:t>22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27680"/>
    <w:rsid w:val="00047671"/>
    <w:rsid w:val="00074F7F"/>
    <w:rsid w:val="0007739A"/>
    <w:rsid w:val="00084CA4"/>
    <w:rsid w:val="00090407"/>
    <w:rsid w:val="000A2D32"/>
    <w:rsid w:val="000A750D"/>
    <w:rsid w:val="000C07C9"/>
    <w:rsid w:val="000D0950"/>
    <w:rsid w:val="000D1496"/>
    <w:rsid w:val="000D5A4C"/>
    <w:rsid w:val="000E73A4"/>
    <w:rsid w:val="000F5F29"/>
    <w:rsid w:val="000F7E64"/>
    <w:rsid w:val="00122769"/>
    <w:rsid w:val="00157C4C"/>
    <w:rsid w:val="0016105B"/>
    <w:rsid w:val="00193ADD"/>
    <w:rsid w:val="001A35D6"/>
    <w:rsid w:val="001A3B28"/>
    <w:rsid w:val="001A5DED"/>
    <w:rsid w:val="001C1802"/>
    <w:rsid w:val="001C1843"/>
    <w:rsid w:val="001D0526"/>
    <w:rsid w:val="001F3425"/>
    <w:rsid w:val="001F51A7"/>
    <w:rsid w:val="002618BB"/>
    <w:rsid w:val="00262CB8"/>
    <w:rsid w:val="00292CA3"/>
    <w:rsid w:val="00294585"/>
    <w:rsid w:val="002A31B6"/>
    <w:rsid w:val="002B481A"/>
    <w:rsid w:val="002C1273"/>
    <w:rsid w:val="002D57FA"/>
    <w:rsid w:val="002F339A"/>
    <w:rsid w:val="003049B4"/>
    <w:rsid w:val="003059DD"/>
    <w:rsid w:val="00307363"/>
    <w:rsid w:val="00311BDF"/>
    <w:rsid w:val="00315E55"/>
    <w:rsid w:val="00365807"/>
    <w:rsid w:val="00367696"/>
    <w:rsid w:val="00370D52"/>
    <w:rsid w:val="00387C81"/>
    <w:rsid w:val="003A26FA"/>
    <w:rsid w:val="003E4AE9"/>
    <w:rsid w:val="00434944"/>
    <w:rsid w:val="0044008F"/>
    <w:rsid w:val="004541EE"/>
    <w:rsid w:val="0045422F"/>
    <w:rsid w:val="00463D0F"/>
    <w:rsid w:val="00465CF0"/>
    <w:rsid w:val="00474221"/>
    <w:rsid w:val="00484A96"/>
    <w:rsid w:val="00492FDD"/>
    <w:rsid w:val="004A32A5"/>
    <w:rsid w:val="004B217A"/>
    <w:rsid w:val="004B553E"/>
    <w:rsid w:val="004C4B1E"/>
    <w:rsid w:val="004C59E3"/>
    <w:rsid w:val="004F23FF"/>
    <w:rsid w:val="004F2493"/>
    <w:rsid w:val="004F3EBB"/>
    <w:rsid w:val="004F7654"/>
    <w:rsid w:val="0050483F"/>
    <w:rsid w:val="005165BE"/>
    <w:rsid w:val="00521C85"/>
    <w:rsid w:val="00523AA4"/>
    <w:rsid w:val="005302A1"/>
    <w:rsid w:val="00532355"/>
    <w:rsid w:val="005455CC"/>
    <w:rsid w:val="005631A3"/>
    <w:rsid w:val="00567BBA"/>
    <w:rsid w:val="00573A96"/>
    <w:rsid w:val="005742CE"/>
    <w:rsid w:val="005746CB"/>
    <w:rsid w:val="00574B27"/>
    <w:rsid w:val="0058170B"/>
    <w:rsid w:val="00597104"/>
    <w:rsid w:val="005B048C"/>
    <w:rsid w:val="005B0FF3"/>
    <w:rsid w:val="005B5361"/>
    <w:rsid w:val="005B63BC"/>
    <w:rsid w:val="005C6D5B"/>
    <w:rsid w:val="005D2AA4"/>
    <w:rsid w:val="005D5B9F"/>
    <w:rsid w:val="005D7964"/>
    <w:rsid w:val="00605992"/>
    <w:rsid w:val="00624E8F"/>
    <w:rsid w:val="00640B76"/>
    <w:rsid w:val="006537A9"/>
    <w:rsid w:val="00654AA5"/>
    <w:rsid w:val="006604E3"/>
    <w:rsid w:val="00666D1C"/>
    <w:rsid w:val="00677BD5"/>
    <w:rsid w:val="00684EC9"/>
    <w:rsid w:val="006A4210"/>
    <w:rsid w:val="006B48F2"/>
    <w:rsid w:val="006C5D1F"/>
    <w:rsid w:val="006D37C6"/>
    <w:rsid w:val="00705DEB"/>
    <w:rsid w:val="0072327B"/>
    <w:rsid w:val="00753E5D"/>
    <w:rsid w:val="00776DA4"/>
    <w:rsid w:val="007B2E04"/>
    <w:rsid w:val="007D6931"/>
    <w:rsid w:val="007F299C"/>
    <w:rsid w:val="007F4083"/>
    <w:rsid w:val="00821BB3"/>
    <w:rsid w:val="0084077E"/>
    <w:rsid w:val="00857DC1"/>
    <w:rsid w:val="008679B3"/>
    <w:rsid w:val="008728C7"/>
    <w:rsid w:val="00872C71"/>
    <w:rsid w:val="00890F6C"/>
    <w:rsid w:val="00896ED1"/>
    <w:rsid w:val="008A2F9C"/>
    <w:rsid w:val="008B0EA4"/>
    <w:rsid w:val="00902889"/>
    <w:rsid w:val="00902B0E"/>
    <w:rsid w:val="00927522"/>
    <w:rsid w:val="00933CBB"/>
    <w:rsid w:val="0099636F"/>
    <w:rsid w:val="009C1DD6"/>
    <w:rsid w:val="009C69BE"/>
    <w:rsid w:val="009D7C82"/>
    <w:rsid w:val="009E2132"/>
    <w:rsid w:val="009E357B"/>
    <w:rsid w:val="00A14488"/>
    <w:rsid w:val="00A15532"/>
    <w:rsid w:val="00A238E6"/>
    <w:rsid w:val="00A23C20"/>
    <w:rsid w:val="00A40033"/>
    <w:rsid w:val="00A40AD1"/>
    <w:rsid w:val="00A43CFA"/>
    <w:rsid w:val="00A746C9"/>
    <w:rsid w:val="00A83E53"/>
    <w:rsid w:val="00AA204E"/>
    <w:rsid w:val="00AC1E36"/>
    <w:rsid w:val="00AC28AC"/>
    <w:rsid w:val="00AC2AF4"/>
    <w:rsid w:val="00AC2B62"/>
    <w:rsid w:val="00AC3735"/>
    <w:rsid w:val="00AD22EA"/>
    <w:rsid w:val="00AD3623"/>
    <w:rsid w:val="00AF3A52"/>
    <w:rsid w:val="00AF412C"/>
    <w:rsid w:val="00B14E26"/>
    <w:rsid w:val="00B21D06"/>
    <w:rsid w:val="00B376E6"/>
    <w:rsid w:val="00B720F9"/>
    <w:rsid w:val="00B8308C"/>
    <w:rsid w:val="00B93464"/>
    <w:rsid w:val="00B95B76"/>
    <w:rsid w:val="00BA5375"/>
    <w:rsid w:val="00BD5416"/>
    <w:rsid w:val="00BE1186"/>
    <w:rsid w:val="00C0459F"/>
    <w:rsid w:val="00C0510C"/>
    <w:rsid w:val="00C17FE5"/>
    <w:rsid w:val="00C3709D"/>
    <w:rsid w:val="00C402C7"/>
    <w:rsid w:val="00C4095A"/>
    <w:rsid w:val="00C4793E"/>
    <w:rsid w:val="00C71067"/>
    <w:rsid w:val="00CA1AF3"/>
    <w:rsid w:val="00CB6CFD"/>
    <w:rsid w:val="00CE3678"/>
    <w:rsid w:val="00CE4266"/>
    <w:rsid w:val="00CF56C5"/>
    <w:rsid w:val="00D12A24"/>
    <w:rsid w:val="00D1436A"/>
    <w:rsid w:val="00D27928"/>
    <w:rsid w:val="00D45AF1"/>
    <w:rsid w:val="00D4752D"/>
    <w:rsid w:val="00D826B7"/>
    <w:rsid w:val="00DB76AA"/>
    <w:rsid w:val="00DD121C"/>
    <w:rsid w:val="00DF3655"/>
    <w:rsid w:val="00E210A0"/>
    <w:rsid w:val="00E26CB7"/>
    <w:rsid w:val="00E37EF6"/>
    <w:rsid w:val="00E747C6"/>
    <w:rsid w:val="00E87834"/>
    <w:rsid w:val="00EB0765"/>
    <w:rsid w:val="00EB5AA7"/>
    <w:rsid w:val="00EC12E4"/>
    <w:rsid w:val="00EC1DB0"/>
    <w:rsid w:val="00EC74C3"/>
    <w:rsid w:val="00EF0B6E"/>
    <w:rsid w:val="00EF5891"/>
    <w:rsid w:val="00F02899"/>
    <w:rsid w:val="00F145F5"/>
    <w:rsid w:val="00F31F53"/>
    <w:rsid w:val="00F33426"/>
    <w:rsid w:val="00F41FD6"/>
    <w:rsid w:val="00F5427A"/>
    <w:rsid w:val="00F64330"/>
    <w:rsid w:val="00F738F8"/>
    <w:rsid w:val="00F80277"/>
    <w:rsid w:val="00F806B0"/>
    <w:rsid w:val="00FA3B64"/>
    <w:rsid w:val="00FB4865"/>
    <w:rsid w:val="00FB5D7D"/>
    <w:rsid w:val="00FD288C"/>
    <w:rsid w:val="00FD457A"/>
    <w:rsid w:val="00FE005C"/>
    <w:rsid w:val="00FE26A7"/>
    <w:rsid w:val="00FE47CC"/>
    <w:rsid w:val="00FE78C6"/>
    <w:rsid w:val="00FE7F08"/>
    <w:rsid w:val="00FF20C3"/>
    <w:rsid w:val="00FF43A6"/>
    <w:rsid w:val="00FF7B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paragraph" w:styleId="1">
    <w:name w:val="heading 1"/>
    <w:basedOn w:val="a"/>
    <w:next w:val="a"/>
    <w:link w:val="10"/>
    <w:qFormat/>
    <w:rsid w:val="00E210A0"/>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AC3735"/>
    <w:pPr>
      <w:spacing w:after="0" w:line="240" w:lineRule="auto"/>
    </w:pPr>
    <w:rPr>
      <w:rFonts w:ascii="Calibri" w:eastAsia="Calibri" w:hAnsi="Calibri" w:cs="Calibri"/>
      <w:sz w:val="20"/>
      <w:szCs w:val="20"/>
    </w:rPr>
  </w:style>
  <w:style w:type="table" w:customStyle="1" w:styleId="12">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3">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4"/>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4">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5">
    <w:name w:val="Звичайний1"/>
    <w:rsid w:val="00857DC1"/>
    <w:pPr>
      <w:spacing w:after="0" w:line="240" w:lineRule="auto"/>
    </w:pPr>
    <w:rPr>
      <w:rFonts w:ascii="Calibri" w:eastAsia="Calibri" w:hAnsi="Calibri" w:cs="Calibri"/>
      <w:sz w:val="20"/>
      <w:szCs w:val="20"/>
    </w:rPr>
  </w:style>
  <w:style w:type="character" w:customStyle="1" w:styleId="10">
    <w:name w:val="Заголовок 1 Знак"/>
    <w:basedOn w:val="a0"/>
    <w:link w:val="1"/>
    <w:rsid w:val="00E210A0"/>
    <w:rPr>
      <w:rFonts w:ascii="Times New Roman" w:eastAsia="Times New Roman" w:hAnsi="Times New Roman" w:cs="Times New Roman"/>
      <w:sz w:val="24"/>
      <w:szCs w:val="20"/>
    </w:rPr>
  </w:style>
  <w:style w:type="paragraph" w:customStyle="1" w:styleId="normal">
    <w:name w:val="normal"/>
    <w:rsid w:val="00074F7F"/>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755-15"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1178-2022-%D0%BF/ed20230520"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922-19" TargetMode="External"/><Relationship Id="rId63" Type="http://schemas.openxmlformats.org/officeDocument/2006/relationships/hyperlink" Target="https://zakon.rada.gov.ua/laws/show/922-19"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1178-2022-%D0%BF/print" TargetMode="External"/><Relationship Id="rId84" Type="http://schemas.openxmlformats.org/officeDocument/2006/relationships/hyperlink" Target="https://zakon.rada.gov.ua/laws/show/1178-2022-%D0%BF/print" TargetMode="Externa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1178-2022-%D0%BF/print"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1178-2022-%D0%BF/ed20230520"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1178-2022-%D0%BF/ed20230520" TargetMode="External"/><Relationship Id="rId74" Type="http://schemas.openxmlformats.org/officeDocument/2006/relationships/hyperlink" Target="https://zakon.rada.gov.ua/laws/show/922-19" TargetMode="External"/><Relationship Id="rId79" Type="http://schemas.openxmlformats.org/officeDocument/2006/relationships/hyperlink" Target="https://zakon.rada.gov.ua/laws/show/922-19"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644-18"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1178-2022-%D0%BF/ed20230520"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5-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2210-14" TargetMode="External"/><Relationship Id="rId33" Type="http://schemas.openxmlformats.org/officeDocument/2006/relationships/hyperlink" Target="https://zakon.rada.gov.ua/laws/show/2939-17" TargetMode="External"/><Relationship Id="rId38" Type="http://schemas.openxmlformats.org/officeDocument/2006/relationships/hyperlink" Target="https://zakon.rada.gov.ua/laws/show/1178-2022-%D0%BF/ed20230520"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922-19"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1178-2022-%D0%BF/ed20230520"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print"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1178-2022-%D0%BF/ed20230520" TargetMode="External"/><Relationship Id="rId78" Type="http://schemas.openxmlformats.org/officeDocument/2006/relationships/hyperlink" Target="https://zakon.rada.gov.ua/laws/show/436-15" TargetMode="External"/><Relationship Id="rId81" Type="http://schemas.openxmlformats.org/officeDocument/2006/relationships/hyperlink" Target="https://zakon.rada.gov.ua/laws/show/922-19"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A282-FC56-4892-B80A-96C6CAA8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22</Pages>
  <Words>37073</Words>
  <Characters>21132</Characters>
  <Application>Microsoft Office Word</Application>
  <DocSecurity>0</DocSecurity>
  <Lines>176</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CWorld</cp:lastModifiedBy>
  <cp:revision>26</cp:revision>
  <dcterms:created xsi:type="dcterms:W3CDTF">2023-08-29T18:19:00Z</dcterms:created>
  <dcterms:modified xsi:type="dcterms:W3CDTF">2024-03-25T10:18:00Z</dcterms:modified>
</cp:coreProperties>
</file>