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03B" w14:textId="49EC9AA6" w:rsidR="00ED4183" w:rsidRPr="00083E54" w:rsidRDefault="00482E6F" w:rsidP="009E16C3">
      <w:pPr>
        <w:jc w:val="center"/>
      </w:pPr>
      <w:commentRangeStart w:id="0"/>
      <w:commentRangeEnd w:id="0"/>
      <w:r>
        <w:rPr>
          <w:rStyle w:val="af2"/>
        </w:rPr>
        <w:commentReference w:id="0"/>
      </w:r>
      <w:r w:rsidR="00ED4183"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1CC29B34"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r w:rsidRPr="00083E54">
        <w:rPr>
          <w:b/>
          <w:bCs/>
          <w:sz w:val="24"/>
          <w:szCs w:val="24"/>
          <w:lang w:val="uk-UA"/>
        </w:rPr>
        <w:t>Місцезнаходження:</w:t>
      </w:r>
      <w:r w:rsidR="00AE13DE" w:rsidRPr="00AE13DE">
        <w:rPr>
          <w:b/>
          <w:bCs/>
          <w:sz w:val="24"/>
          <w:szCs w:val="24"/>
        </w:rPr>
        <w:t xml:space="preserve"> </w:t>
      </w:r>
      <w:r w:rsidRPr="00083E54">
        <w:rPr>
          <w:b/>
          <w:i/>
          <w:sz w:val="24"/>
          <w:szCs w:val="24"/>
          <w:lang w:val="uk-UA"/>
        </w:rPr>
        <w:t>адреса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1" w:name="n8"/>
      <w:bookmarkEnd w:id="1"/>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12"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4EFBBD42"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r w:rsidR="008420FD">
        <w:rPr>
          <w:sz w:val="24"/>
          <w:szCs w:val="24"/>
          <w:lang w:val="uk-UA"/>
        </w:rPr>
        <w:t>безпечною</w:t>
      </w:r>
      <w:r>
        <w:rPr>
          <w:sz w:val="24"/>
          <w:szCs w:val="24"/>
          <w:lang w:val="uk-UA"/>
        </w:rPr>
        <w:t xml:space="preserve"> експлуатаціє</w:t>
      </w:r>
      <w:r w:rsidR="008420FD">
        <w:rPr>
          <w:sz w:val="24"/>
          <w:szCs w:val="24"/>
          <w:lang w:val="uk-UA"/>
        </w:rPr>
        <w:t>ю</w:t>
      </w:r>
      <w:r>
        <w:rPr>
          <w:sz w:val="24"/>
          <w:szCs w:val="24"/>
          <w:lang w:val="uk-UA"/>
        </w:rPr>
        <w:t xml:space="preserve">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401C2DC0" w:rsidR="00ED4183" w:rsidRPr="001A1CCC" w:rsidRDefault="00587B29"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158</w:t>
      </w:r>
      <w:r w:rsidR="00217513">
        <w:rPr>
          <w:i/>
          <w:spacing w:val="10"/>
          <w:sz w:val="22"/>
          <w:szCs w:val="22"/>
          <w:lang w:val="uk-UA"/>
        </w:rPr>
        <w:t>0</w:t>
      </w:r>
      <w:r w:rsidR="00544A27">
        <w:rPr>
          <w:i/>
          <w:spacing w:val="10"/>
          <w:sz w:val="22"/>
          <w:szCs w:val="22"/>
          <w:lang w:val="uk-UA"/>
        </w:rPr>
        <w:t>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п’ятнадцять тисяч вісімсот</w:t>
      </w:r>
      <w:r w:rsidR="00324795">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04878B5D"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587B29">
        <w:rPr>
          <w:bCs/>
          <w:i/>
          <w:iCs/>
          <w:sz w:val="24"/>
          <w:szCs w:val="24"/>
          <w:lang w:val="uk-UA"/>
        </w:rPr>
        <w:t>79</w:t>
      </w:r>
      <w:r w:rsidR="003A6343">
        <w:rPr>
          <w:bCs/>
          <w:sz w:val="24"/>
          <w:szCs w:val="24"/>
          <w:lang w:val="uk-UA"/>
        </w:rPr>
        <w:t xml:space="preserve"> </w:t>
      </w:r>
      <w:r w:rsidRPr="001A1CCC">
        <w:rPr>
          <w:i/>
          <w:sz w:val="24"/>
          <w:szCs w:val="24"/>
          <w:lang w:val="uk-UA"/>
        </w:rPr>
        <w:t>грн</w:t>
      </w:r>
      <w:r w:rsidRPr="001A1CCC">
        <w:rPr>
          <w:sz w:val="24"/>
          <w:szCs w:val="24"/>
          <w:lang w:val="uk-UA"/>
        </w:rPr>
        <w:t>.</w:t>
      </w:r>
    </w:p>
    <w:p w14:paraId="73B071E3" w14:textId="77777777"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2" w:name="59"/>
      <w:bookmarkStart w:id="3" w:name="60"/>
      <w:bookmarkStart w:id="4" w:name="61"/>
      <w:bookmarkStart w:id="5" w:name="64"/>
      <w:bookmarkStart w:id="6" w:name="70"/>
      <w:bookmarkEnd w:id="2"/>
      <w:bookmarkEnd w:id="3"/>
      <w:bookmarkEnd w:id="4"/>
      <w:bookmarkEnd w:id="5"/>
      <w:bookmarkEnd w:id="6"/>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604749D0"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7" w:name="71"/>
      <w:bookmarkEnd w:id="7"/>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3A6343">
        <w:rPr>
          <w:sz w:val="24"/>
          <w:szCs w:val="24"/>
          <w:lang w:val="uk-UA"/>
        </w:rPr>
        <w:t xml:space="preserve">Поточний ремонт пасажирського ліфта за </w:t>
      </w:r>
      <w:proofErr w:type="spellStart"/>
      <w:r w:rsidR="003A6343">
        <w:rPr>
          <w:sz w:val="24"/>
          <w:szCs w:val="24"/>
          <w:lang w:val="uk-UA"/>
        </w:rPr>
        <w:t>адресою</w:t>
      </w:r>
      <w:proofErr w:type="spellEnd"/>
      <w:r w:rsidR="003A6343">
        <w:rPr>
          <w:sz w:val="24"/>
          <w:szCs w:val="24"/>
          <w:lang w:val="uk-UA"/>
        </w:rPr>
        <w:t xml:space="preserve">, м. Київ, в </w:t>
      </w:r>
      <w:r w:rsidR="008D5B0D">
        <w:rPr>
          <w:sz w:val="24"/>
          <w:szCs w:val="24"/>
          <w:lang w:val="uk-UA"/>
        </w:rPr>
        <w:t>1</w:t>
      </w:r>
      <w:r w:rsidR="003A6343">
        <w:rPr>
          <w:sz w:val="24"/>
          <w:szCs w:val="24"/>
          <w:lang w:val="uk-UA"/>
        </w:rPr>
        <w:t xml:space="preserve"> під’їзді житлового будинку № </w:t>
      </w:r>
      <w:r w:rsidR="00587B29">
        <w:rPr>
          <w:sz w:val="24"/>
          <w:szCs w:val="24"/>
          <w:lang w:val="uk-UA"/>
        </w:rPr>
        <w:t>19</w:t>
      </w:r>
      <w:r w:rsidR="003A6343">
        <w:rPr>
          <w:sz w:val="24"/>
          <w:szCs w:val="24"/>
          <w:lang w:val="uk-UA"/>
        </w:rPr>
        <w:t xml:space="preserve"> по </w:t>
      </w:r>
      <w:proofErr w:type="spellStart"/>
      <w:r w:rsidR="00587B29">
        <w:rPr>
          <w:sz w:val="24"/>
          <w:szCs w:val="24"/>
          <w:lang w:val="uk-UA"/>
        </w:rPr>
        <w:t>просп</w:t>
      </w:r>
      <w:proofErr w:type="spellEnd"/>
      <w:r w:rsidR="00587B29">
        <w:rPr>
          <w:sz w:val="24"/>
          <w:szCs w:val="24"/>
          <w:lang w:val="uk-UA"/>
        </w:rPr>
        <w:t>. Глушкова Академіка</w:t>
      </w:r>
      <w:r w:rsidR="003A6343">
        <w:rPr>
          <w:sz w:val="24"/>
          <w:szCs w:val="24"/>
          <w:lang w:val="uk-UA"/>
        </w:rPr>
        <w:t xml:space="preserve">, реєстрацій номер </w:t>
      </w:r>
      <w:r w:rsidR="00587B29">
        <w:rPr>
          <w:sz w:val="24"/>
          <w:szCs w:val="24"/>
          <w:lang w:val="uk-UA"/>
        </w:rPr>
        <w:t>39264</w:t>
      </w:r>
      <w:r w:rsidR="00E67468">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6814E2EB"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587B29">
        <w:rPr>
          <w:sz w:val="24"/>
          <w:szCs w:val="24"/>
          <w:lang w:val="uk-UA"/>
        </w:rPr>
        <w:t>19</w:t>
      </w:r>
      <w:r w:rsidR="00DE5A36">
        <w:rPr>
          <w:sz w:val="24"/>
          <w:szCs w:val="24"/>
          <w:lang w:val="uk-UA"/>
        </w:rPr>
        <w:t xml:space="preserve">, </w:t>
      </w:r>
      <w:proofErr w:type="spellStart"/>
      <w:r w:rsidR="00587B29">
        <w:rPr>
          <w:sz w:val="24"/>
          <w:szCs w:val="24"/>
          <w:lang w:val="uk-UA"/>
        </w:rPr>
        <w:t>просп</w:t>
      </w:r>
      <w:proofErr w:type="spellEnd"/>
      <w:r w:rsidR="00587B29">
        <w:rPr>
          <w:sz w:val="24"/>
          <w:szCs w:val="24"/>
          <w:lang w:val="uk-UA"/>
        </w:rPr>
        <w:t>. Глушкова Академіка</w:t>
      </w:r>
    </w:p>
    <w:p w14:paraId="37C9B5EF" w14:textId="2BA777F6"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8D5B0D">
        <w:rPr>
          <w:b/>
          <w:i/>
          <w:sz w:val="24"/>
          <w:szCs w:val="24"/>
          <w:lang w:val="uk-UA"/>
        </w:rPr>
        <w:t>30 вересня</w:t>
      </w:r>
      <w:r w:rsidR="00544A27">
        <w:rPr>
          <w:b/>
          <w:i/>
          <w:sz w:val="24"/>
          <w:szCs w:val="24"/>
          <w:lang w:val="uk-UA"/>
        </w:rPr>
        <w:t xml:space="preserve"> </w:t>
      </w:r>
      <w:r w:rsidR="00050E87" w:rsidRPr="00977051">
        <w:rPr>
          <w:b/>
          <w:i/>
          <w:sz w:val="24"/>
          <w:szCs w:val="24"/>
          <w:lang w:val="uk-UA"/>
        </w:rPr>
        <w:t>202</w:t>
      </w:r>
      <w:r w:rsidR="0075458D">
        <w:rPr>
          <w:b/>
          <w:i/>
          <w:sz w:val="24"/>
          <w:szCs w:val="24"/>
          <w:lang w:val="uk-UA"/>
        </w:rPr>
        <w:t>2</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54CADEC9"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E67468">
        <w:rPr>
          <w:sz w:val="24"/>
          <w:szCs w:val="24"/>
          <w:lang w:val="uk-UA"/>
        </w:rPr>
        <w:t>17</w:t>
      </w:r>
      <w:r w:rsidR="002E3C9D">
        <w:rPr>
          <w:sz w:val="24"/>
          <w:szCs w:val="24"/>
          <w:lang w:val="uk-UA"/>
        </w:rPr>
        <w:t xml:space="preserve"> серпня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7B795C49"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E67468">
        <w:rPr>
          <w:bCs/>
          <w:sz w:val="24"/>
          <w:szCs w:val="24"/>
          <w:lang w:val="uk-UA"/>
        </w:rPr>
        <w:t>22</w:t>
      </w:r>
      <w:r w:rsidR="00202641">
        <w:rPr>
          <w:bCs/>
          <w:sz w:val="24"/>
          <w:szCs w:val="24"/>
          <w:lang w:val="uk-UA"/>
        </w:rPr>
        <w:t xml:space="preserve"> </w:t>
      </w:r>
      <w:r w:rsidR="002E3C9D">
        <w:rPr>
          <w:bCs/>
          <w:sz w:val="24"/>
          <w:szCs w:val="24"/>
          <w:lang w:val="uk-UA"/>
        </w:rPr>
        <w:t>серпня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8" w:name="74"/>
      <w:bookmarkStart w:id="9" w:name="91"/>
      <w:bookmarkStart w:id="10" w:name="92"/>
      <w:bookmarkEnd w:id="8"/>
      <w:bookmarkEnd w:id="9"/>
      <w:bookmarkEnd w:id="10"/>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lastRenderedPageBreak/>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1937940E"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587B29">
        <w:rPr>
          <w:sz w:val="24"/>
          <w:szCs w:val="24"/>
          <w:lang w:val="uk-UA"/>
        </w:rPr>
        <w:t xml:space="preserve">Поточний ремонт пасажирського ліфта за </w:t>
      </w:r>
      <w:proofErr w:type="spellStart"/>
      <w:r w:rsidR="00587B29">
        <w:rPr>
          <w:sz w:val="24"/>
          <w:szCs w:val="24"/>
          <w:lang w:val="uk-UA"/>
        </w:rPr>
        <w:t>адресою</w:t>
      </w:r>
      <w:proofErr w:type="spellEnd"/>
      <w:r w:rsidR="00587B29">
        <w:rPr>
          <w:sz w:val="24"/>
          <w:szCs w:val="24"/>
          <w:lang w:val="uk-UA"/>
        </w:rPr>
        <w:t xml:space="preserve">, м. Київ, в 1 під’їзді житлового будинку № 19 по </w:t>
      </w:r>
      <w:proofErr w:type="spellStart"/>
      <w:r w:rsidR="00587B29">
        <w:rPr>
          <w:sz w:val="24"/>
          <w:szCs w:val="24"/>
          <w:lang w:val="uk-UA"/>
        </w:rPr>
        <w:t>просп</w:t>
      </w:r>
      <w:proofErr w:type="spellEnd"/>
      <w:r w:rsidR="00587B29">
        <w:rPr>
          <w:sz w:val="24"/>
          <w:szCs w:val="24"/>
          <w:lang w:val="uk-UA"/>
        </w:rPr>
        <w:t>. Глушкова Академіка, реєстрацій номер 39264</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38A6E481" w:rsidR="00F26919" w:rsidRPr="00043389" w:rsidRDefault="00587B29" w:rsidP="00F26919">
            <w:pPr>
              <w:keepLines/>
              <w:autoSpaceDE w:val="0"/>
              <w:autoSpaceDN w:val="0"/>
              <w:rPr>
                <w:rFonts w:ascii="Arial" w:hAnsi="Arial" w:cs="Arial"/>
                <w:sz w:val="20"/>
                <w:szCs w:val="20"/>
                <w:lang w:val="uk-UA"/>
              </w:rPr>
            </w:pPr>
            <w:r>
              <w:rPr>
                <w:rFonts w:ascii="Arial" w:hAnsi="Arial" w:cs="Arial"/>
                <w:sz w:val="20"/>
                <w:szCs w:val="20"/>
                <w:lang w:val="uk-UA"/>
              </w:rPr>
              <w:t>Облаштування робочого місця без установлення верстата</w:t>
            </w:r>
          </w:p>
        </w:tc>
        <w:tc>
          <w:tcPr>
            <w:tcW w:w="1418" w:type="dxa"/>
            <w:tcBorders>
              <w:top w:val="nil"/>
              <w:left w:val="single" w:sz="4" w:space="0" w:color="auto"/>
              <w:bottom w:val="nil"/>
              <w:right w:val="nil"/>
            </w:tcBorders>
          </w:tcPr>
          <w:p w14:paraId="323D2B8C" w14:textId="6B7189A8" w:rsidR="00F26919" w:rsidRPr="0004338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6FBC5D71" w14:textId="03BB89DC" w:rsidR="00F26919" w:rsidRPr="0004338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55B8567C" w:rsidR="00F26919" w:rsidRPr="00043389" w:rsidRDefault="00587B29" w:rsidP="00AE13DE">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Облаштування вагою до 100 кг</w:t>
            </w:r>
          </w:p>
        </w:tc>
        <w:tc>
          <w:tcPr>
            <w:tcW w:w="1418" w:type="dxa"/>
            <w:tcBorders>
              <w:top w:val="nil"/>
              <w:left w:val="single" w:sz="4" w:space="0" w:color="auto"/>
              <w:bottom w:val="nil"/>
              <w:right w:val="nil"/>
            </w:tcBorders>
          </w:tcPr>
          <w:p w14:paraId="4F1D36B5" w14:textId="2253FF81" w:rsidR="00F26919" w:rsidRPr="0004338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комплект</w:t>
            </w:r>
          </w:p>
        </w:tc>
        <w:tc>
          <w:tcPr>
            <w:tcW w:w="1418" w:type="dxa"/>
            <w:tcBorders>
              <w:top w:val="nil"/>
              <w:left w:val="single" w:sz="4" w:space="0" w:color="auto"/>
              <w:bottom w:val="nil"/>
              <w:right w:val="single" w:sz="4" w:space="0" w:color="auto"/>
            </w:tcBorders>
          </w:tcPr>
          <w:p w14:paraId="2EC8AE39" w14:textId="72FFDC2C" w:rsidR="00F26919" w:rsidRPr="0004338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587B29" w:rsidRPr="00F26919" w14:paraId="7373B815" w14:textId="77777777" w:rsidTr="00043389">
        <w:trPr>
          <w:trHeight w:val="80"/>
          <w:jc w:val="center"/>
        </w:trPr>
        <w:tc>
          <w:tcPr>
            <w:tcW w:w="426" w:type="dxa"/>
            <w:tcBorders>
              <w:top w:val="nil"/>
              <w:left w:val="single" w:sz="12" w:space="0" w:color="auto"/>
              <w:bottom w:val="nil"/>
              <w:right w:val="single" w:sz="4" w:space="0" w:color="auto"/>
            </w:tcBorders>
          </w:tcPr>
          <w:p w14:paraId="60E0671D" w14:textId="3969FD9B"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1BE0ACD0" w14:textId="2F1A82EE" w:rsidR="00587B29" w:rsidRDefault="00587B29" w:rsidP="00AE13DE">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100 кг з рознесенням в машинне приміщення</w:t>
            </w:r>
          </w:p>
        </w:tc>
        <w:tc>
          <w:tcPr>
            <w:tcW w:w="1418" w:type="dxa"/>
            <w:tcBorders>
              <w:top w:val="nil"/>
              <w:left w:val="single" w:sz="4" w:space="0" w:color="auto"/>
              <w:bottom w:val="nil"/>
              <w:right w:val="nil"/>
            </w:tcBorders>
          </w:tcPr>
          <w:p w14:paraId="155262E9" w14:textId="7296E8DC"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Маш прим</w:t>
            </w:r>
          </w:p>
        </w:tc>
        <w:tc>
          <w:tcPr>
            <w:tcW w:w="1418" w:type="dxa"/>
            <w:tcBorders>
              <w:top w:val="nil"/>
              <w:left w:val="single" w:sz="4" w:space="0" w:color="auto"/>
              <w:bottom w:val="nil"/>
              <w:right w:val="single" w:sz="4" w:space="0" w:color="auto"/>
            </w:tcBorders>
          </w:tcPr>
          <w:p w14:paraId="14A932BA" w14:textId="227041C6"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3A0BD83F" w14:textId="77777777" w:rsidR="00587B29" w:rsidRPr="00F26919" w:rsidRDefault="00587B29" w:rsidP="00F26919">
            <w:pPr>
              <w:keepLines/>
              <w:autoSpaceDE w:val="0"/>
              <w:autoSpaceDN w:val="0"/>
              <w:jc w:val="center"/>
              <w:rPr>
                <w:rFonts w:ascii="Arial" w:hAnsi="Arial" w:cs="Arial"/>
                <w:sz w:val="16"/>
                <w:szCs w:val="16"/>
              </w:rPr>
            </w:pPr>
          </w:p>
        </w:tc>
      </w:tr>
      <w:tr w:rsidR="00587B29" w:rsidRPr="00F26919" w14:paraId="1F7F21BF" w14:textId="77777777" w:rsidTr="00043389">
        <w:trPr>
          <w:trHeight w:val="80"/>
          <w:jc w:val="center"/>
        </w:trPr>
        <w:tc>
          <w:tcPr>
            <w:tcW w:w="426" w:type="dxa"/>
            <w:tcBorders>
              <w:top w:val="nil"/>
              <w:left w:val="single" w:sz="12" w:space="0" w:color="auto"/>
              <w:bottom w:val="nil"/>
              <w:right w:val="single" w:sz="4" w:space="0" w:color="auto"/>
            </w:tcBorders>
          </w:tcPr>
          <w:p w14:paraId="69B211AC" w14:textId="6B3E5867"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5277" w:type="dxa"/>
            <w:tcBorders>
              <w:top w:val="nil"/>
              <w:left w:val="nil"/>
              <w:bottom w:val="nil"/>
              <w:right w:val="nil"/>
            </w:tcBorders>
          </w:tcPr>
          <w:p w14:paraId="6F5CEC7E" w14:textId="2944F219" w:rsidR="00587B29" w:rsidRDefault="00587B29" w:rsidP="00AE13DE">
            <w:pPr>
              <w:keepLines/>
              <w:autoSpaceDE w:val="0"/>
              <w:autoSpaceDN w:val="0"/>
              <w:rPr>
                <w:rFonts w:ascii="Arial" w:hAnsi="Arial" w:cs="Arial"/>
                <w:sz w:val="20"/>
                <w:szCs w:val="20"/>
                <w:lang w:val="uk-UA"/>
              </w:rPr>
            </w:pPr>
            <w:r>
              <w:rPr>
                <w:rFonts w:ascii="Arial" w:hAnsi="Arial" w:cs="Arial"/>
                <w:sz w:val="20"/>
                <w:szCs w:val="20"/>
                <w:lang w:val="uk-UA"/>
              </w:rPr>
              <w:t>Зняття навантаження з лебідки. Навантаження лебідки</w:t>
            </w:r>
          </w:p>
        </w:tc>
        <w:tc>
          <w:tcPr>
            <w:tcW w:w="1418" w:type="dxa"/>
            <w:tcBorders>
              <w:top w:val="nil"/>
              <w:left w:val="single" w:sz="4" w:space="0" w:color="auto"/>
              <w:bottom w:val="nil"/>
              <w:right w:val="nil"/>
            </w:tcBorders>
          </w:tcPr>
          <w:p w14:paraId="5AE98506" w14:textId="1E242A36"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4BA11CB5" w14:textId="6C74255E"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7ED72A4F" w14:textId="77777777" w:rsidR="00587B29" w:rsidRPr="00F26919" w:rsidRDefault="00587B29" w:rsidP="00F26919">
            <w:pPr>
              <w:keepLines/>
              <w:autoSpaceDE w:val="0"/>
              <w:autoSpaceDN w:val="0"/>
              <w:jc w:val="center"/>
              <w:rPr>
                <w:rFonts w:ascii="Arial" w:hAnsi="Arial" w:cs="Arial"/>
                <w:sz w:val="16"/>
                <w:szCs w:val="16"/>
              </w:rPr>
            </w:pPr>
          </w:p>
        </w:tc>
      </w:tr>
      <w:tr w:rsidR="00587B29" w:rsidRPr="00F26919" w14:paraId="195ADD6A" w14:textId="77777777" w:rsidTr="00043389">
        <w:trPr>
          <w:trHeight w:val="80"/>
          <w:jc w:val="center"/>
        </w:trPr>
        <w:tc>
          <w:tcPr>
            <w:tcW w:w="426" w:type="dxa"/>
            <w:tcBorders>
              <w:top w:val="nil"/>
              <w:left w:val="single" w:sz="12" w:space="0" w:color="auto"/>
              <w:bottom w:val="nil"/>
              <w:right w:val="single" w:sz="4" w:space="0" w:color="auto"/>
            </w:tcBorders>
          </w:tcPr>
          <w:p w14:paraId="2B558428" w14:textId="4DECEB45"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5277" w:type="dxa"/>
            <w:tcBorders>
              <w:top w:val="nil"/>
              <w:left w:val="nil"/>
              <w:bottom w:val="nil"/>
              <w:right w:val="nil"/>
            </w:tcBorders>
          </w:tcPr>
          <w:p w14:paraId="0ABBA9AF" w14:textId="11FE937E" w:rsidR="00587B29" w:rsidRDefault="00587B29" w:rsidP="00AE13DE">
            <w:pPr>
              <w:keepLines/>
              <w:autoSpaceDE w:val="0"/>
              <w:autoSpaceDN w:val="0"/>
              <w:rPr>
                <w:rFonts w:ascii="Arial" w:hAnsi="Arial" w:cs="Arial"/>
                <w:sz w:val="20"/>
                <w:szCs w:val="20"/>
                <w:lang w:val="uk-UA"/>
              </w:rPr>
            </w:pPr>
            <w:r>
              <w:rPr>
                <w:rFonts w:ascii="Arial" w:hAnsi="Arial" w:cs="Arial"/>
                <w:sz w:val="20"/>
                <w:szCs w:val="20"/>
                <w:lang w:val="uk-UA"/>
              </w:rPr>
              <w:t>З</w:t>
            </w:r>
            <w:r w:rsidR="008C6599">
              <w:rPr>
                <w:rFonts w:ascii="Arial" w:hAnsi="Arial" w:cs="Arial"/>
                <w:sz w:val="20"/>
                <w:szCs w:val="20"/>
                <w:lang w:val="uk-UA"/>
              </w:rPr>
              <w:t>аміна</w:t>
            </w:r>
            <w:r>
              <w:rPr>
                <w:rFonts w:ascii="Arial" w:hAnsi="Arial" w:cs="Arial"/>
                <w:sz w:val="20"/>
                <w:szCs w:val="20"/>
                <w:lang w:val="uk-UA"/>
              </w:rPr>
              <w:t xml:space="preserve"> </w:t>
            </w:r>
            <w:proofErr w:type="spellStart"/>
            <w:r>
              <w:rPr>
                <w:rFonts w:ascii="Arial" w:hAnsi="Arial" w:cs="Arial"/>
                <w:sz w:val="20"/>
                <w:szCs w:val="20"/>
                <w:lang w:val="uk-UA"/>
              </w:rPr>
              <w:t>відводного</w:t>
            </w:r>
            <w:proofErr w:type="spellEnd"/>
            <w:r>
              <w:rPr>
                <w:rFonts w:ascii="Arial" w:hAnsi="Arial" w:cs="Arial"/>
                <w:sz w:val="20"/>
                <w:szCs w:val="20"/>
                <w:lang w:val="uk-UA"/>
              </w:rPr>
              <w:t xml:space="preserve"> </w:t>
            </w:r>
            <w:proofErr w:type="spellStart"/>
            <w:r>
              <w:rPr>
                <w:rFonts w:ascii="Arial" w:hAnsi="Arial" w:cs="Arial"/>
                <w:sz w:val="20"/>
                <w:szCs w:val="20"/>
                <w:lang w:val="uk-UA"/>
              </w:rPr>
              <w:t>блака</w:t>
            </w:r>
            <w:proofErr w:type="spellEnd"/>
          </w:p>
        </w:tc>
        <w:tc>
          <w:tcPr>
            <w:tcW w:w="1418" w:type="dxa"/>
            <w:tcBorders>
              <w:top w:val="nil"/>
              <w:left w:val="single" w:sz="4" w:space="0" w:color="auto"/>
              <w:bottom w:val="nil"/>
              <w:right w:val="nil"/>
            </w:tcBorders>
          </w:tcPr>
          <w:p w14:paraId="5C69460F" w14:textId="59B7ECA5" w:rsidR="00587B29" w:rsidRDefault="00587B29"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4DB1A316" w14:textId="7FFE6116"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32CA6393" w14:textId="77777777" w:rsidR="00587B29" w:rsidRPr="00F26919" w:rsidRDefault="00587B29" w:rsidP="00F26919">
            <w:pPr>
              <w:keepLines/>
              <w:autoSpaceDE w:val="0"/>
              <w:autoSpaceDN w:val="0"/>
              <w:jc w:val="center"/>
              <w:rPr>
                <w:rFonts w:ascii="Arial" w:hAnsi="Arial" w:cs="Arial"/>
                <w:sz w:val="16"/>
                <w:szCs w:val="16"/>
              </w:rPr>
            </w:pPr>
          </w:p>
        </w:tc>
      </w:tr>
      <w:tr w:rsidR="00587B29" w:rsidRPr="00F26919" w14:paraId="2A72FD34" w14:textId="77777777" w:rsidTr="00043389">
        <w:trPr>
          <w:trHeight w:val="80"/>
          <w:jc w:val="center"/>
        </w:trPr>
        <w:tc>
          <w:tcPr>
            <w:tcW w:w="426" w:type="dxa"/>
            <w:tcBorders>
              <w:top w:val="nil"/>
              <w:left w:val="single" w:sz="12" w:space="0" w:color="auto"/>
              <w:bottom w:val="nil"/>
              <w:right w:val="single" w:sz="4" w:space="0" w:color="auto"/>
            </w:tcBorders>
          </w:tcPr>
          <w:p w14:paraId="35BD8DFA" w14:textId="18688E8E"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6</w:t>
            </w:r>
          </w:p>
        </w:tc>
        <w:tc>
          <w:tcPr>
            <w:tcW w:w="5277" w:type="dxa"/>
            <w:tcBorders>
              <w:top w:val="nil"/>
              <w:left w:val="nil"/>
              <w:bottom w:val="nil"/>
              <w:right w:val="nil"/>
            </w:tcBorders>
          </w:tcPr>
          <w:p w14:paraId="43FC7CC6" w14:textId="1DCA129A" w:rsidR="00587B29" w:rsidRDefault="008C6599" w:rsidP="00AE13DE">
            <w:pPr>
              <w:keepLines/>
              <w:autoSpaceDE w:val="0"/>
              <w:autoSpaceDN w:val="0"/>
              <w:rPr>
                <w:rFonts w:ascii="Arial" w:hAnsi="Arial" w:cs="Arial"/>
                <w:sz w:val="20"/>
                <w:szCs w:val="20"/>
                <w:lang w:val="uk-UA"/>
              </w:rPr>
            </w:pPr>
            <w:r>
              <w:rPr>
                <w:rFonts w:ascii="Arial" w:hAnsi="Arial" w:cs="Arial"/>
                <w:sz w:val="20"/>
                <w:szCs w:val="20"/>
                <w:lang w:val="uk-UA"/>
              </w:rPr>
              <w:t xml:space="preserve">Ремонт </w:t>
            </w:r>
            <w:proofErr w:type="spellStart"/>
            <w:r>
              <w:rPr>
                <w:rFonts w:ascii="Arial" w:hAnsi="Arial" w:cs="Arial"/>
                <w:sz w:val="20"/>
                <w:szCs w:val="20"/>
                <w:lang w:val="uk-UA"/>
              </w:rPr>
              <w:t>відводного</w:t>
            </w:r>
            <w:proofErr w:type="spellEnd"/>
            <w:r>
              <w:rPr>
                <w:rFonts w:ascii="Arial" w:hAnsi="Arial" w:cs="Arial"/>
                <w:sz w:val="20"/>
                <w:szCs w:val="20"/>
                <w:lang w:val="uk-UA"/>
              </w:rPr>
              <w:t xml:space="preserve"> блоку</w:t>
            </w:r>
          </w:p>
        </w:tc>
        <w:tc>
          <w:tcPr>
            <w:tcW w:w="1418" w:type="dxa"/>
            <w:tcBorders>
              <w:top w:val="nil"/>
              <w:left w:val="single" w:sz="4" w:space="0" w:color="auto"/>
              <w:bottom w:val="nil"/>
              <w:right w:val="nil"/>
            </w:tcBorders>
          </w:tcPr>
          <w:p w14:paraId="484B804F" w14:textId="4C63D6AF" w:rsidR="00587B29" w:rsidRDefault="008C6599"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13864260" w14:textId="2D2FD60F" w:rsidR="00587B29" w:rsidRDefault="008C659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0AD1107" w14:textId="77777777" w:rsidR="00587B29" w:rsidRPr="00F26919" w:rsidRDefault="00587B29"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2847D14E" w14:textId="52BDE16F" w:rsidR="00A90108" w:rsidRPr="006147BA" w:rsidRDefault="00ED4183"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A732B6">
        <w:rPr>
          <w:rFonts w:ascii="Times New Roman" w:hAnsi="Times New Roman" w:cs="Times New Roman"/>
          <w:color w:val="000000"/>
          <w:sz w:val="24"/>
          <w:szCs w:val="24"/>
        </w:rPr>
        <w:t>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F26919" w:rsidRPr="00F26919">
        <w:rPr>
          <w:rFonts w:ascii="Times New Roman" w:hAnsi="Times New Roman" w:cs="Times New Roman"/>
          <w:color w:val="000000"/>
          <w:sz w:val="24"/>
          <w:szCs w:val="24"/>
        </w:rPr>
        <w:t xml:space="preserve"> в </w:t>
      </w:r>
      <w:r w:rsidR="008D5B0D">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8D5B0D">
        <w:rPr>
          <w:rFonts w:ascii="Times New Roman" w:hAnsi="Times New Roman" w:cs="Times New Roman"/>
          <w:color w:val="000000"/>
          <w:sz w:val="24"/>
          <w:szCs w:val="24"/>
        </w:rPr>
        <w:t>1</w:t>
      </w:r>
      <w:r w:rsidR="008C6599">
        <w:rPr>
          <w:rFonts w:ascii="Times New Roman" w:hAnsi="Times New Roman" w:cs="Times New Roman"/>
          <w:color w:val="000000"/>
          <w:sz w:val="24"/>
          <w:szCs w:val="24"/>
        </w:rPr>
        <w:t>9</w:t>
      </w:r>
      <w:r w:rsidR="00A27859">
        <w:rPr>
          <w:rFonts w:ascii="Times New Roman" w:hAnsi="Times New Roman" w:cs="Times New Roman"/>
          <w:color w:val="000000"/>
          <w:sz w:val="24"/>
          <w:szCs w:val="24"/>
        </w:rPr>
        <w:t xml:space="preserve">, по </w:t>
      </w:r>
      <w:proofErr w:type="spellStart"/>
      <w:r w:rsidR="008C6599">
        <w:rPr>
          <w:rFonts w:ascii="Times New Roman" w:hAnsi="Times New Roman" w:cs="Times New Roman"/>
          <w:color w:val="000000"/>
          <w:sz w:val="24"/>
          <w:szCs w:val="24"/>
        </w:rPr>
        <w:t>просп</w:t>
      </w:r>
      <w:proofErr w:type="spellEnd"/>
      <w:r w:rsidR="008C6599">
        <w:rPr>
          <w:rFonts w:ascii="Times New Roman" w:hAnsi="Times New Roman" w:cs="Times New Roman"/>
          <w:color w:val="000000"/>
          <w:sz w:val="24"/>
          <w:szCs w:val="24"/>
        </w:rPr>
        <w:t>. Академіка Глушкова</w:t>
      </w:r>
    </w:p>
    <w:p w14:paraId="66357779" w14:textId="77777777" w:rsidR="00ED4183" w:rsidRPr="00E257C9" w:rsidRDefault="00A90108"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 </w:t>
      </w:r>
      <w:r w:rsidR="00ED4183" w:rsidRPr="006147BA">
        <w:rPr>
          <w:rFonts w:ascii="Times New Roman" w:hAnsi="Times New Roman" w:cs="Times New Roman"/>
          <w:color w:val="000000"/>
          <w:sz w:val="24"/>
          <w:szCs w:val="24"/>
        </w:rPr>
        <w:t xml:space="preserve">Гарантійний термін на </w:t>
      </w:r>
      <w:r w:rsidR="00006F12" w:rsidRPr="006147BA">
        <w:rPr>
          <w:rFonts w:ascii="Times New Roman" w:hAnsi="Times New Roman" w:cs="Times New Roman"/>
          <w:color w:val="000000"/>
          <w:sz w:val="24"/>
          <w:szCs w:val="24"/>
        </w:rPr>
        <w:t>надані роботи</w:t>
      </w:r>
      <w:r w:rsidR="00E76FFE" w:rsidRPr="006147BA">
        <w:rPr>
          <w:rFonts w:ascii="Times New Roman" w:hAnsi="Times New Roman" w:cs="Times New Roman"/>
          <w:color w:val="000000"/>
          <w:sz w:val="24"/>
          <w:szCs w:val="24"/>
        </w:rPr>
        <w:t>/послуги</w:t>
      </w:r>
      <w:r w:rsidR="00006F12" w:rsidRPr="006147BA">
        <w:rPr>
          <w:rFonts w:ascii="Times New Roman" w:hAnsi="Times New Roman" w:cs="Times New Roman"/>
          <w:color w:val="000000"/>
          <w:sz w:val="24"/>
          <w:szCs w:val="24"/>
        </w:rPr>
        <w:t xml:space="preserve"> повинні</w:t>
      </w:r>
      <w:r w:rsidR="00ED4183" w:rsidRPr="006147BA">
        <w:rPr>
          <w:rFonts w:ascii="Times New Roman" w:hAnsi="Times New Roman" w:cs="Times New Roman"/>
          <w:color w:val="000000"/>
          <w:sz w:val="24"/>
          <w:szCs w:val="24"/>
        </w:rPr>
        <w:t xml:space="preserve"> складати: не менше </w:t>
      </w:r>
      <w:r w:rsidR="00687A87" w:rsidRPr="006147BA">
        <w:rPr>
          <w:rFonts w:ascii="Times New Roman" w:hAnsi="Times New Roman" w:cs="Times New Roman"/>
          <w:color w:val="000000"/>
          <w:sz w:val="24"/>
          <w:szCs w:val="24"/>
        </w:rPr>
        <w:t>12</w:t>
      </w:r>
      <w:r w:rsidR="00ED4183"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00ED4183"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35E1D12F"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55009E">
        <w:rPr>
          <w:rFonts w:eastAsia="MS Mincho"/>
          <w:color w:val="000000"/>
          <w:sz w:val="24"/>
          <w:szCs w:val="24"/>
          <w:lang w:val="uk-UA"/>
        </w:rPr>
        <w:t>30.09</w:t>
      </w:r>
      <w:r w:rsidR="00324795">
        <w:rPr>
          <w:rFonts w:eastAsia="MS Mincho"/>
          <w:color w:val="000000"/>
          <w:sz w:val="24"/>
          <w:szCs w:val="24"/>
          <w:lang w:val="uk-UA"/>
        </w:rPr>
        <w:t>.</w:t>
      </w:r>
      <w:r w:rsidR="00977051">
        <w:rPr>
          <w:rFonts w:eastAsia="MS Mincho"/>
          <w:color w:val="000000"/>
          <w:sz w:val="24"/>
          <w:szCs w:val="24"/>
          <w:lang w:val="uk-UA"/>
        </w:rPr>
        <w:t>202</w:t>
      </w:r>
      <w:r w:rsidR="00AE13DE">
        <w:rPr>
          <w:rFonts w:eastAsia="MS Mincho"/>
          <w:color w:val="000000"/>
          <w:sz w:val="24"/>
          <w:szCs w:val="24"/>
          <w:lang w:val="uk-UA"/>
        </w:rPr>
        <w:t>2</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lastRenderedPageBreak/>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lastRenderedPageBreak/>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1" w:name="268"/>
      <w:bookmarkEnd w:id="11"/>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8B546A9"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DA45CE">
        <w:rPr>
          <w:b/>
          <w:color w:val="000000"/>
          <w:spacing w:val="-6"/>
          <w:sz w:val="24"/>
          <w:szCs w:val="24"/>
          <w:lang w:val="uk-UA"/>
        </w:rPr>
        <w:t>2</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lastRenderedPageBreak/>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48075E13"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р/р 26004300843535 (</w:t>
            </w:r>
            <w:r w:rsidRPr="00C225D6">
              <w:rPr>
                <w:color w:val="000000"/>
                <w:sz w:val="24"/>
                <w:szCs w:val="24"/>
                <w:lang w:val="en-US"/>
              </w:rPr>
              <w:t>IBAN</w:t>
            </w:r>
            <w:r w:rsidRPr="00C225D6">
              <w:rPr>
                <w:color w:val="000000"/>
                <w:sz w:val="24"/>
                <w:szCs w:val="24"/>
              </w:rPr>
              <w:t>)</w:t>
            </w:r>
            <w:r w:rsidRPr="00C225D6">
              <w:rPr>
                <w:color w:val="000000"/>
                <w:sz w:val="24"/>
                <w:szCs w:val="24"/>
                <w:lang w:val="en-US"/>
              </w:rPr>
              <w:t>UA</w:t>
            </w:r>
            <w:r w:rsidRPr="00C225D6">
              <w:rPr>
                <w:color w:val="000000"/>
                <w:sz w:val="24"/>
                <w:szCs w:val="24"/>
              </w:rPr>
              <w:t>743226690000026004300843535</w:t>
            </w:r>
            <w:r w:rsidRPr="00C225D6">
              <w:rPr>
                <w:color w:val="000000"/>
                <w:sz w:val="24"/>
                <w:szCs w:val="24"/>
                <w:lang w:val="uk-UA"/>
              </w:rPr>
              <w:t xml:space="preserve"> в </w:t>
            </w:r>
            <w:r w:rsidRPr="00C225D6">
              <w:rPr>
                <w:noProof/>
                <w:color w:val="000000"/>
                <w:sz w:val="24"/>
                <w:szCs w:val="24"/>
                <w:lang w:val="uk-UA"/>
              </w:rPr>
              <w:t>ГУ по м. Києву та</w:t>
            </w:r>
          </w:p>
          <w:p w14:paraId="5DB0E51A" w14:textId="77777777" w:rsidR="00C225D6" w:rsidRPr="00C225D6" w:rsidRDefault="00C225D6" w:rsidP="00C225D6">
            <w:pPr>
              <w:tabs>
                <w:tab w:val="left" w:pos="709"/>
              </w:tabs>
              <w:autoSpaceDN w:val="0"/>
              <w:spacing w:line="276" w:lineRule="auto"/>
              <w:rPr>
                <w:color w:val="000000"/>
                <w:sz w:val="24"/>
                <w:szCs w:val="24"/>
                <w:lang w:val="uk-UA"/>
              </w:rPr>
            </w:pPr>
            <w:r w:rsidRPr="00C225D6">
              <w:rPr>
                <w:noProof/>
                <w:color w:val="000000"/>
                <w:sz w:val="24"/>
                <w:szCs w:val="24"/>
                <w:lang w:val="uk-UA"/>
              </w:rPr>
              <w:t xml:space="preserve">Київській області АТ "Ощадбанк", </w:t>
            </w:r>
            <w:r w:rsidRPr="00C225D6">
              <w:rPr>
                <w:color w:val="000000"/>
                <w:sz w:val="24"/>
                <w:szCs w:val="24"/>
                <w:lang w:val="uk-UA"/>
              </w:rPr>
              <w:t xml:space="preserve">МФО </w:t>
            </w:r>
            <w:r w:rsidRPr="00C225D6">
              <w:rPr>
                <w:noProof/>
                <w:color w:val="000000"/>
                <w:sz w:val="24"/>
                <w:szCs w:val="24"/>
                <w:lang w:val="uk-UA"/>
              </w:rPr>
              <w:t>322669</w:t>
            </w:r>
          </w:p>
          <w:p w14:paraId="66520D5B"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77777777" w:rsidR="00C225D6" w:rsidRPr="00C225D6" w:rsidRDefault="00C225D6" w:rsidP="00C225D6">
            <w:pPr>
              <w:spacing w:line="276" w:lineRule="auto"/>
              <w:rPr>
                <w:i/>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045"/>
        <w:gridCol w:w="1372"/>
        <w:gridCol w:w="1379"/>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ver" w:date="2022-07-27T13:38:00Z" w:initials="Z">
    <w:p w14:paraId="1DBDDAC9" w14:textId="7F3C16C5" w:rsidR="00482E6F" w:rsidRPr="00482E6F" w:rsidRDefault="00482E6F">
      <w:pPr>
        <w:pStyle w:val="af3"/>
        <w:rPr>
          <w:lang w:val="uk-UA"/>
        </w:rPr>
      </w:pPr>
      <w:r>
        <w:rPr>
          <w:rStyle w:val="af2"/>
        </w:rPr>
        <w:annotationRef/>
      </w:r>
      <w:r>
        <w:rPr>
          <w:lang w:val="uk-UA"/>
        </w:rPr>
        <w:t>ааа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DD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E3C" w16cex:dateUtc="2022-07-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DDAC9" w16cid:durableId="268BB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4DDE" w14:textId="77777777" w:rsidR="000803F5" w:rsidRDefault="000803F5" w:rsidP="005B248B">
      <w:r>
        <w:separator/>
      </w:r>
    </w:p>
  </w:endnote>
  <w:endnote w:type="continuationSeparator" w:id="0">
    <w:p w14:paraId="42364981" w14:textId="77777777" w:rsidR="000803F5" w:rsidRDefault="000803F5"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92D2" w14:textId="77777777" w:rsidR="000803F5" w:rsidRDefault="000803F5" w:rsidP="005B248B">
      <w:r>
        <w:separator/>
      </w:r>
    </w:p>
  </w:footnote>
  <w:footnote w:type="continuationSeparator" w:id="0">
    <w:p w14:paraId="038FF291" w14:textId="77777777" w:rsidR="000803F5" w:rsidRDefault="000803F5"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294630223">
    <w:abstractNumId w:val="0"/>
  </w:num>
  <w:num w:numId="2" w16cid:durableId="1066606600">
    <w:abstractNumId w:val="6"/>
  </w:num>
  <w:num w:numId="3" w16cid:durableId="977566487">
    <w:abstractNumId w:val="4"/>
  </w:num>
  <w:num w:numId="4" w16cid:durableId="87426662">
    <w:abstractNumId w:val="3"/>
  </w:num>
  <w:num w:numId="5" w16cid:durableId="335769722">
    <w:abstractNumId w:val="2"/>
  </w:num>
  <w:num w:numId="6" w16cid:durableId="1385325879">
    <w:abstractNumId w:val="7"/>
    <w:lvlOverride w:ilvl="0">
      <w:startOverride w:val="4"/>
    </w:lvlOverride>
  </w:num>
  <w:num w:numId="7" w16cid:durableId="626475944">
    <w:abstractNumId w:val="5"/>
  </w:num>
  <w:num w:numId="8" w16cid:durableId="7637213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er">
    <w15:presenceInfo w15:providerId="None" w15:userId="Z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83"/>
    <w:rsid w:val="00004270"/>
    <w:rsid w:val="00006F12"/>
    <w:rsid w:val="00011EBA"/>
    <w:rsid w:val="00017C92"/>
    <w:rsid w:val="00021169"/>
    <w:rsid w:val="00022CA2"/>
    <w:rsid w:val="000230D0"/>
    <w:rsid w:val="00024586"/>
    <w:rsid w:val="000265A9"/>
    <w:rsid w:val="00031466"/>
    <w:rsid w:val="00031651"/>
    <w:rsid w:val="000401EE"/>
    <w:rsid w:val="00042625"/>
    <w:rsid w:val="00043389"/>
    <w:rsid w:val="00044511"/>
    <w:rsid w:val="00050E87"/>
    <w:rsid w:val="00055007"/>
    <w:rsid w:val="00062F0C"/>
    <w:rsid w:val="0006378E"/>
    <w:rsid w:val="000803F5"/>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815DE"/>
    <w:rsid w:val="001A1CCC"/>
    <w:rsid w:val="001A360C"/>
    <w:rsid w:val="001B62FD"/>
    <w:rsid w:val="001C19FF"/>
    <w:rsid w:val="001C3505"/>
    <w:rsid w:val="001D0D3F"/>
    <w:rsid w:val="001D5DC1"/>
    <w:rsid w:val="001D6751"/>
    <w:rsid w:val="001E46DB"/>
    <w:rsid w:val="001E5D5F"/>
    <w:rsid w:val="001E6844"/>
    <w:rsid w:val="00200C63"/>
    <w:rsid w:val="00202641"/>
    <w:rsid w:val="00210C76"/>
    <w:rsid w:val="00216060"/>
    <w:rsid w:val="0021740E"/>
    <w:rsid w:val="00217513"/>
    <w:rsid w:val="0022071D"/>
    <w:rsid w:val="00220DEF"/>
    <w:rsid w:val="00225A54"/>
    <w:rsid w:val="002330D7"/>
    <w:rsid w:val="00237EC5"/>
    <w:rsid w:val="00240FF8"/>
    <w:rsid w:val="00246FA5"/>
    <w:rsid w:val="00270F01"/>
    <w:rsid w:val="00276AD6"/>
    <w:rsid w:val="00277924"/>
    <w:rsid w:val="0029494C"/>
    <w:rsid w:val="002A1834"/>
    <w:rsid w:val="002B0D74"/>
    <w:rsid w:val="002B3F87"/>
    <w:rsid w:val="002C0480"/>
    <w:rsid w:val="002C32DB"/>
    <w:rsid w:val="002C3869"/>
    <w:rsid w:val="002D0C55"/>
    <w:rsid w:val="002D3824"/>
    <w:rsid w:val="002E0A62"/>
    <w:rsid w:val="002E1453"/>
    <w:rsid w:val="002E3C9D"/>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80504"/>
    <w:rsid w:val="003836B5"/>
    <w:rsid w:val="00386E52"/>
    <w:rsid w:val="003967E4"/>
    <w:rsid w:val="003A3111"/>
    <w:rsid w:val="003A4183"/>
    <w:rsid w:val="003A6343"/>
    <w:rsid w:val="003A71D9"/>
    <w:rsid w:val="003A755A"/>
    <w:rsid w:val="003A79A5"/>
    <w:rsid w:val="003B7475"/>
    <w:rsid w:val="003C1187"/>
    <w:rsid w:val="003C2FDB"/>
    <w:rsid w:val="003C447B"/>
    <w:rsid w:val="003D557B"/>
    <w:rsid w:val="003E42EF"/>
    <w:rsid w:val="003E7F4D"/>
    <w:rsid w:val="003F1F3A"/>
    <w:rsid w:val="003F78D8"/>
    <w:rsid w:val="004108F0"/>
    <w:rsid w:val="0041102E"/>
    <w:rsid w:val="004130A1"/>
    <w:rsid w:val="00417766"/>
    <w:rsid w:val="00421BC3"/>
    <w:rsid w:val="00427C23"/>
    <w:rsid w:val="00431321"/>
    <w:rsid w:val="004403E8"/>
    <w:rsid w:val="00441E5B"/>
    <w:rsid w:val="0044318A"/>
    <w:rsid w:val="00451A16"/>
    <w:rsid w:val="004614FE"/>
    <w:rsid w:val="00464DF5"/>
    <w:rsid w:val="00467E01"/>
    <w:rsid w:val="00470464"/>
    <w:rsid w:val="00474792"/>
    <w:rsid w:val="00476405"/>
    <w:rsid w:val="004811BC"/>
    <w:rsid w:val="00482E6F"/>
    <w:rsid w:val="00482F5A"/>
    <w:rsid w:val="00490742"/>
    <w:rsid w:val="00492AD3"/>
    <w:rsid w:val="004A7BCC"/>
    <w:rsid w:val="004B2E35"/>
    <w:rsid w:val="004B75B0"/>
    <w:rsid w:val="004C1E6F"/>
    <w:rsid w:val="004C23E3"/>
    <w:rsid w:val="004D0A3F"/>
    <w:rsid w:val="004D7B15"/>
    <w:rsid w:val="004F60E4"/>
    <w:rsid w:val="00502CCB"/>
    <w:rsid w:val="00504F4E"/>
    <w:rsid w:val="00507A93"/>
    <w:rsid w:val="005230FF"/>
    <w:rsid w:val="005256AA"/>
    <w:rsid w:val="00534D67"/>
    <w:rsid w:val="0054176F"/>
    <w:rsid w:val="00542596"/>
    <w:rsid w:val="00544A27"/>
    <w:rsid w:val="0055009E"/>
    <w:rsid w:val="0055086D"/>
    <w:rsid w:val="00556C1D"/>
    <w:rsid w:val="00566805"/>
    <w:rsid w:val="00567111"/>
    <w:rsid w:val="00570D38"/>
    <w:rsid w:val="005710E6"/>
    <w:rsid w:val="00581F28"/>
    <w:rsid w:val="00584A76"/>
    <w:rsid w:val="00587B29"/>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D18D2"/>
    <w:rsid w:val="005E0F75"/>
    <w:rsid w:val="005E2841"/>
    <w:rsid w:val="005E378E"/>
    <w:rsid w:val="005E54A0"/>
    <w:rsid w:val="005E5675"/>
    <w:rsid w:val="005E5C2C"/>
    <w:rsid w:val="005E5EE6"/>
    <w:rsid w:val="005F1EBE"/>
    <w:rsid w:val="005F51A6"/>
    <w:rsid w:val="006059EB"/>
    <w:rsid w:val="00605E41"/>
    <w:rsid w:val="00607FCB"/>
    <w:rsid w:val="00612F6F"/>
    <w:rsid w:val="006147BA"/>
    <w:rsid w:val="00617227"/>
    <w:rsid w:val="00617889"/>
    <w:rsid w:val="006209BE"/>
    <w:rsid w:val="0062441F"/>
    <w:rsid w:val="006244D4"/>
    <w:rsid w:val="00633569"/>
    <w:rsid w:val="00640465"/>
    <w:rsid w:val="00645F57"/>
    <w:rsid w:val="00651A00"/>
    <w:rsid w:val="00651E73"/>
    <w:rsid w:val="0065247B"/>
    <w:rsid w:val="00663234"/>
    <w:rsid w:val="006706CD"/>
    <w:rsid w:val="00673864"/>
    <w:rsid w:val="00676EAC"/>
    <w:rsid w:val="00681508"/>
    <w:rsid w:val="0068654D"/>
    <w:rsid w:val="00687A87"/>
    <w:rsid w:val="00693108"/>
    <w:rsid w:val="0069332D"/>
    <w:rsid w:val="0069570F"/>
    <w:rsid w:val="00697074"/>
    <w:rsid w:val="006C7938"/>
    <w:rsid w:val="006D1F3C"/>
    <w:rsid w:val="006E2AA9"/>
    <w:rsid w:val="006E3EE4"/>
    <w:rsid w:val="006F08BE"/>
    <w:rsid w:val="006F14B4"/>
    <w:rsid w:val="007001BB"/>
    <w:rsid w:val="00700B78"/>
    <w:rsid w:val="00701A66"/>
    <w:rsid w:val="00705611"/>
    <w:rsid w:val="007101A2"/>
    <w:rsid w:val="0071279F"/>
    <w:rsid w:val="007144D1"/>
    <w:rsid w:val="00715AE0"/>
    <w:rsid w:val="007232AC"/>
    <w:rsid w:val="007261D4"/>
    <w:rsid w:val="007354EA"/>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20FD"/>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8526F"/>
    <w:rsid w:val="008B238E"/>
    <w:rsid w:val="008B68FF"/>
    <w:rsid w:val="008C1294"/>
    <w:rsid w:val="008C12FC"/>
    <w:rsid w:val="008C329D"/>
    <w:rsid w:val="008C5798"/>
    <w:rsid w:val="008C6599"/>
    <w:rsid w:val="008C7EE5"/>
    <w:rsid w:val="008D02B6"/>
    <w:rsid w:val="008D5B0D"/>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17A00"/>
    <w:rsid w:val="00A27859"/>
    <w:rsid w:val="00A3245E"/>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E13DE"/>
    <w:rsid w:val="00AF432B"/>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CF6689"/>
    <w:rsid w:val="00D055B5"/>
    <w:rsid w:val="00D10CEC"/>
    <w:rsid w:val="00D13EC9"/>
    <w:rsid w:val="00D228FA"/>
    <w:rsid w:val="00D35BDC"/>
    <w:rsid w:val="00D421C7"/>
    <w:rsid w:val="00D45C10"/>
    <w:rsid w:val="00D52E81"/>
    <w:rsid w:val="00D55CEC"/>
    <w:rsid w:val="00D566C6"/>
    <w:rsid w:val="00D56BE9"/>
    <w:rsid w:val="00D57A1D"/>
    <w:rsid w:val="00D6617D"/>
    <w:rsid w:val="00D67C1E"/>
    <w:rsid w:val="00DA2BA7"/>
    <w:rsid w:val="00DA45CE"/>
    <w:rsid w:val="00DA4DA9"/>
    <w:rsid w:val="00DA5C3D"/>
    <w:rsid w:val="00DA7619"/>
    <w:rsid w:val="00DB0654"/>
    <w:rsid w:val="00DB5006"/>
    <w:rsid w:val="00DC1B30"/>
    <w:rsid w:val="00DE2154"/>
    <w:rsid w:val="00DE5A36"/>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67468"/>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D5850"/>
    <w:rsid w:val="00EE451E"/>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5939"/>
    <w:rsid w:val="00FA5BDC"/>
    <w:rsid w:val="00FA5BF8"/>
    <w:rsid w:val="00FC0564"/>
    <w:rsid w:val="00FC4E9B"/>
    <w:rsid w:val="00FD3031"/>
    <w:rsid w:val="00FD4BFD"/>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15:docId w15:val="{985A741A-6861-4E26-9B20-33A4B9F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ітки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ітки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vmerzhytskatan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74B2-DD08-4030-815F-F809B661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4384</Words>
  <Characters>24990</Characters>
  <Application>Microsoft Office Word</Application>
  <DocSecurity>0</DocSecurity>
  <Lines>208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Zver</cp:lastModifiedBy>
  <cp:revision>2</cp:revision>
  <cp:lastPrinted>2016-08-19T06:33:00Z</cp:lastPrinted>
  <dcterms:created xsi:type="dcterms:W3CDTF">2022-08-11T13:20:00Z</dcterms:created>
  <dcterms:modified xsi:type="dcterms:W3CDTF">2022-08-11T13:20:00Z</dcterms:modified>
</cp:coreProperties>
</file>