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4823"/>
        <w:gridCol w:w="5107"/>
      </w:tblGrid>
      <w:tr w:rsidR="00784A82" w:rsidRPr="00592CD5" w14:paraId="3B84EC70" w14:textId="77777777" w:rsidTr="00AC3B6B">
        <w:trPr>
          <w:trHeight w:val="851"/>
        </w:trPr>
        <w:tc>
          <w:tcPr>
            <w:tcW w:w="4823" w:type="dxa"/>
          </w:tcPr>
          <w:p w14:paraId="6A283CE9" w14:textId="77777777" w:rsidR="00784A82" w:rsidRPr="00592CD5" w:rsidRDefault="00784A82" w:rsidP="00784A8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107" w:type="dxa"/>
          </w:tcPr>
          <w:p w14:paraId="24B59BBA" w14:textId="04F92CD4" w:rsidR="00784A82" w:rsidRPr="00592CD5" w:rsidRDefault="00784A82" w:rsidP="00784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2CD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ДОДАТОК</w:t>
            </w:r>
            <w:r w:rsidR="0054675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1</w:t>
            </w:r>
            <w:r w:rsidRPr="00592CD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  <w:p w14:paraId="09D495D6" w14:textId="77777777" w:rsidR="00784A82" w:rsidRPr="00592CD5" w:rsidRDefault="00784A82" w:rsidP="0044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45877B86" w14:textId="77777777" w:rsidR="00784A82" w:rsidRPr="009919D2" w:rsidRDefault="00784A82" w:rsidP="00784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ІНФОРМАЦІЯ ПРО НЕОБХІДНІ ТЕХНІЧНІ, ЯКІСНІ ТА КІЛЬКІСНІ ХАРАКТЕРИСТИКИ ПРЕДМЕТА ЗАКУПІВЛІ</w:t>
      </w:r>
    </w:p>
    <w:p w14:paraId="12DD2A05" w14:textId="77777777" w:rsidR="00A56CF3" w:rsidRDefault="00A56CF3" w:rsidP="00A56CF3">
      <w:pPr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B1C3671" w14:textId="438CFD45" w:rsidR="00784A82" w:rsidRPr="00A56CF3" w:rsidRDefault="00A56CF3" w:rsidP="00A56C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hyperlink r:id="rId5" w:history="1">
        <w:r w:rsidRPr="00A56CF3">
          <w:rPr>
            <w:rStyle w:val="af2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Послуги з відбору </w:t>
        </w:r>
        <w:proofErr w:type="spellStart"/>
        <w:r w:rsidRPr="00A56CF3">
          <w:rPr>
            <w:rStyle w:val="af2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рекрутингової</w:t>
        </w:r>
        <w:proofErr w:type="spellEnd"/>
        <w:r w:rsidRPr="00A56CF3">
          <w:rPr>
            <w:rStyle w:val="af2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компанії для проведення пошуку кандидатів на посади трьох незалежних членів наглядової ради державного підприємства Міністерства оборони України «Агенція оборонних закупівель»</w:t>
        </w:r>
      </w:hyperlink>
      <w:r w:rsidRPr="00A56C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84A82" w:rsidRPr="00A56CF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надаються відповідно до Технічного завдання</w:t>
      </w:r>
    </w:p>
    <w:p w14:paraId="766DAED7" w14:textId="77777777" w:rsidR="00784A82" w:rsidRPr="009919D2" w:rsidRDefault="00784A82" w:rsidP="00784A8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A9D8E81" w14:textId="0DED7E8A" w:rsidR="00784A82" w:rsidRPr="009919D2" w:rsidRDefault="00784A82" w:rsidP="00784A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9D2">
        <w:rPr>
          <w:rFonts w:ascii="Times New Roman" w:hAnsi="Times New Roman" w:cs="Times New Roman"/>
          <w:b/>
          <w:bCs/>
          <w:sz w:val="28"/>
          <w:szCs w:val="28"/>
        </w:rPr>
        <w:t>ТЕХНІЧНЕ ЗАВДАННЯ</w:t>
      </w:r>
    </w:p>
    <w:p w14:paraId="58D91EE0" w14:textId="49A1AF26" w:rsidR="00784A82" w:rsidRPr="009919D2" w:rsidRDefault="00784A82" w:rsidP="00A56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ru-RU"/>
          <w14:ligatures w14:val="none"/>
        </w:rPr>
        <w:t xml:space="preserve">Процес пошуку та визначення кандидатів </w:t>
      </w:r>
      <w:r w:rsidRPr="009919D2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на посади незалежних </w:t>
      </w:r>
      <w:r w:rsidRPr="009919D2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членів Наглядової ради</w:t>
      </w:r>
    </w:p>
    <w:p w14:paraId="43D8343C" w14:textId="137CDD5C" w:rsidR="00E97DA9" w:rsidRPr="009919D2" w:rsidRDefault="00784A82" w:rsidP="00E97DA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Учасник, якого буде відібрано для надання послуг (далі – </w:t>
      </w:r>
      <w:r w:rsidRPr="009919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Виконавець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в рамках виконання договору про закупівлю послуг повинен надати комплекс послуг відповідно до внутрішніх стандартів Виконавця з пошуку та відбору кандидатів на посади </w:t>
      </w:r>
      <w:r w:rsidRPr="009919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трьох 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незалежних членів Наглядової ради </w:t>
      </w:r>
      <w:r w:rsidR="00A56CF3" w:rsidRPr="00A56C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державного підприємства Міністерства оборони України «Агенція оборонних закупівель»</w:t>
      </w:r>
      <w:r w:rsidR="00A56CF3" w:rsidRPr="00A56C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(далі – </w:t>
      </w:r>
      <w:r w:rsidRPr="009919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Кандидати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), з урахуванням положень</w:t>
      </w:r>
      <w:r w:rsidR="00DF16A0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чинного законодавства Украї</w:t>
      </w:r>
      <w:r w:rsidR="00BD43A7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 та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внутрішніх документів </w:t>
      </w:r>
      <w:r w:rsidR="00A56CF3" w:rsidRPr="00A56C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державного підприємства Міністерства оборони України «Агенція оборонних закупівель»</w:t>
      </w:r>
      <w:r w:rsidR="00CB6E36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(далі </w:t>
      </w:r>
      <w:r w:rsidR="00C5106C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CB6E36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65501" w:rsidRPr="009919D2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r w:rsidR="00C5106C" w:rsidRPr="009919D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щодо формування Наглядової</w:t>
      </w:r>
      <w:r w:rsidR="007C462E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ради</w:t>
      </w:r>
      <w:r w:rsidR="00C5106C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F24D0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Підприє</w:t>
      </w:r>
      <w:r w:rsidR="00F73A84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мства</w:t>
      </w:r>
      <w:r w:rsidR="00C5106C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(далі – </w:t>
      </w:r>
      <w:r w:rsidR="00C5106C" w:rsidRPr="009919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Наглядова рада</w:t>
      </w:r>
      <w:r w:rsidR="00C5106C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  <w:r w:rsidR="004D689B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="00C90463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що </w:t>
      </w:r>
      <w:r w:rsidR="004D689B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надаються Виконавцю після підписання договору)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0C751073" w14:textId="0DAB10E5" w:rsidR="00994BDC" w:rsidRPr="009919D2" w:rsidRDefault="00554449" w:rsidP="00E97DA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 </w:t>
      </w:r>
      <w:r w:rsidR="00E766D4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пошуку та відборі </w:t>
      </w:r>
      <w:r w:rsidR="00E97DA9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E766D4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андидатів</w:t>
      </w:r>
      <w:r w:rsidR="00E97DA9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E766D4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Виконавець зобов’язаний враховувати </w:t>
      </w:r>
      <w:r w:rsidR="00807855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відповідні </w:t>
      </w:r>
      <w:r w:rsidR="00E766D4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вимоги</w:t>
      </w:r>
      <w:r w:rsidR="00331035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1C05EF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передбачені</w:t>
      </w:r>
      <w:r w:rsidR="00331035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3735A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чинним законодавством та </w:t>
      </w:r>
      <w:r w:rsidR="00945F4A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документами </w:t>
      </w:r>
      <w:r w:rsidR="00DD3B26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Замовника</w:t>
      </w:r>
      <w:r w:rsidR="00D74A62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E42E03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E2523D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Такі </w:t>
      </w:r>
      <w:r w:rsidR="00D74A62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вимоги</w:t>
      </w:r>
      <w:r w:rsidR="00D2766A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01D68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встановлені</w:t>
      </w:r>
      <w:r w:rsidR="00E2523D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зокрема,</w:t>
      </w:r>
      <w:r w:rsidR="00D2766A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331035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наступни</w:t>
      </w:r>
      <w:r w:rsidR="001C05EF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</w:t>
      </w:r>
      <w:r w:rsidR="00331035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документами</w:t>
      </w:r>
      <w:r w:rsidR="00994BDC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2718C8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і</w:t>
      </w:r>
      <w:r w:rsidR="00994BDC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нормами:</w:t>
      </w:r>
    </w:p>
    <w:p w14:paraId="596FCD11" w14:textId="0364BBBE" w:rsidR="00BC59F8" w:rsidRPr="009919D2" w:rsidRDefault="00DF0BC8" w:rsidP="00DF0BC8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частини третя і четверта </w:t>
      </w:r>
      <w:r w:rsidR="00811D20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статті 11</w:t>
      </w:r>
      <w:r w:rsidR="00811D20" w:rsidRPr="009919D2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2</w:t>
      </w:r>
      <w:r w:rsidR="00494642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CB5BA7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частина перша </w:t>
      </w:r>
      <w:r w:rsidR="00494642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статт</w:t>
      </w:r>
      <w:r w:rsidR="00CB5BA7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і</w:t>
      </w:r>
      <w:r w:rsidR="00494642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11</w:t>
      </w:r>
      <w:r w:rsidR="00494642" w:rsidRPr="009919D2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3</w:t>
      </w:r>
      <w:r w:rsidR="00811D20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Закону України </w:t>
      </w:r>
      <w:r w:rsidR="00082648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="00811D20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 управління об’єктами державної власності</w:t>
      </w:r>
      <w:r w:rsidR="00082648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="00ED703D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5A18F09F" w14:textId="2BEB828E" w:rsidR="00B76435" w:rsidRPr="009919D2" w:rsidRDefault="00B76435" w:rsidP="00B76435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Вимоги до незалежного члена наглядової ради державного унітарного підприємства та господарського товариства, у статутному капіталі якого більше 50 відсотків акцій (часток) належать державі, затверджені постановою Кабінету Міністрів України від 10 березня 2017 року № 142</w:t>
      </w:r>
      <w:r w:rsidR="00C66EC5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="00C4121D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далі – </w:t>
      </w:r>
      <w:r w:rsidR="00C4121D" w:rsidRPr="009919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Вимоги КМУ</w:t>
      </w:r>
      <w:r w:rsidR="00C66EC5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09D3DD01" w14:textId="342D89FB" w:rsidR="00B76435" w:rsidRPr="009919D2" w:rsidRDefault="009D5907" w:rsidP="00860CB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частина перша статті 25</w:t>
      </w:r>
      <w:r w:rsidR="0002039A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7C6C3B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частина перш</w:t>
      </w:r>
      <w:r w:rsidR="004A46AE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7C6C3B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статті 26, </w:t>
      </w:r>
      <w:r w:rsidR="0002039A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частина перша статті 28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Закону України </w:t>
      </w:r>
      <w:r w:rsidR="00082648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 запобігання корупції</w:t>
      </w:r>
      <w:r w:rsidR="00082648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="009F580A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41228372" w14:textId="62FCFE4E" w:rsidR="00992E42" w:rsidRPr="009919D2" w:rsidRDefault="00992E42" w:rsidP="00BB6566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Статут державного підприємства Міністерства оборони Укра</w:t>
      </w:r>
      <w:r w:rsidR="006A243C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ї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 «Агенція оборонних закупівель» (надається додатково);</w:t>
      </w:r>
    </w:p>
    <w:p w14:paraId="3F3D8DE6" w14:textId="21845392" w:rsidR="00992E42" w:rsidRPr="009919D2" w:rsidRDefault="00784A82" w:rsidP="00BB6566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Положення про наглядову раду  </w:t>
      </w:r>
      <w:bookmarkStart w:id="0" w:name="_Hlk157158919"/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державного підприємства Міністерства оборони Укра</w:t>
      </w:r>
      <w:r w:rsidR="00992E42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ї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 «Агенція оборонних закупівель»</w:t>
      </w:r>
      <w:bookmarkEnd w:id="0"/>
      <w:r w:rsidR="00992E42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(надається додатково);</w:t>
      </w:r>
    </w:p>
    <w:p w14:paraId="50C861C0" w14:textId="006365D8" w:rsidR="00784A82" w:rsidRPr="009919D2" w:rsidRDefault="00784A82" w:rsidP="00860CB9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Положення про принцип</w:t>
      </w:r>
      <w:r w:rsidR="00992E42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формування наглядово</w:t>
      </w:r>
      <w:r w:rsidR="00992E42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ї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ради державного підприємства Міністерства оборони Укра</w:t>
      </w:r>
      <w:r w:rsidR="003F7EC0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ї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 «Агенція оборонних закупівель»</w:t>
      </w:r>
      <w:r w:rsidRPr="009919D2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(надається додатково). </w:t>
      </w:r>
    </w:p>
    <w:p w14:paraId="23815C79" w14:textId="1CFBD25D" w:rsidR="00642C7B" w:rsidRPr="009919D2" w:rsidRDefault="00784A82" w:rsidP="00784A82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Вимоги до </w:t>
      </w:r>
      <w:r w:rsidR="00201CFB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організації Виконавцем 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процесу пошуку та відбору Кандидатів:</w:t>
      </w:r>
    </w:p>
    <w:p w14:paraId="485A30C7" w14:textId="45DAD27B" w:rsidR="00784A82" w:rsidRPr="009919D2" w:rsidRDefault="00642C7B" w:rsidP="00642C7B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ED0000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r w:rsidR="00784A82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озроблення пропозицій щодо</w:t>
      </w:r>
      <w:r w:rsidR="00835514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кваліфікаційних</w:t>
      </w:r>
      <w:r w:rsidR="00784A82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вимог до кандидатів, </w:t>
      </w:r>
      <w:r w:rsidR="00C74B12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критеріїв</w:t>
      </w:r>
      <w:r w:rsidR="00784A82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оцінювання учасників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919D2">
        <w:rPr>
          <w:rFonts w:ascii="Times New Roman" w:eastAsia="Times New Roman" w:hAnsi="Times New Roman" w:cs="Times New Roman"/>
          <w:color w:val="ED0000"/>
          <w:kern w:val="0"/>
          <w:sz w:val="28"/>
          <w:szCs w:val="28"/>
          <w:lang w:eastAsia="ru-RU"/>
          <w14:ligatures w14:val="none"/>
        </w:rPr>
        <w:t xml:space="preserve"> </w:t>
      </w:r>
      <w:r w:rsidR="0092531E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ідбору</w:t>
      </w:r>
      <w:r w:rsidR="001A006B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Кандидатів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 надання </w:t>
      </w:r>
      <w:r w:rsidR="006D2B73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їх 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затвердження </w:t>
      </w:r>
      <w:r w:rsidR="001A006B" w:rsidRPr="009919D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Замовник</w:t>
      </w:r>
      <w:r w:rsidR="002E28B3" w:rsidRPr="009919D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у</w:t>
      </w:r>
      <w:r w:rsidRPr="009919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;</w:t>
      </w:r>
    </w:p>
    <w:p w14:paraId="4FDE8255" w14:textId="560C3626" w:rsidR="00642C7B" w:rsidRPr="009919D2" w:rsidRDefault="00642C7B" w:rsidP="00784A82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ED0000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отримання </w:t>
      </w:r>
      <w:r w:rsidR="00835514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затверджених </w:t>
      </w:r>
      <w:r w:rsidR="00835514" w:rsidRPr="009919D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Замовником</w:t>
      </w:r>
      <w:r w:rsidR="00966366" w:rsidRPr="009919D2">
        <w:rPr>
          <w:rFonts w:ascii="Times New Roman" w:eastAsia="Times New Roman" w:hAnsi="Times New Roman" w:cs="Times New Roman"/>
          <w:b/>
          <w:bCs/>
          <w:color w:val="ED0000"/>
          <w:kern w:val="0"/>
          <w:sz w:val="28"/>
          <w:szCs w:val="28"/>
          <w:lang w:eastAsia="ru-RU"/>
          <w14:ligatures w14:val="none"/>
        </w:rPr>
        <w:t xml:space="preserve"> 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вимог до Кандидатів на посади трьох незалежних членів </w:t>
      </w:r>
      <w:r w:rsidR="00B14754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Наглядової 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ради;</w:t>
      </w:r>
    </w:p>
    <w:p w14:paraId="4893446D" w14:textId="52145886" w:rsidR="00642C7B" w:rsidRPr="009919D2" w:rsidRDefault="00642C7B" w:rsidP="00310A00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ED0000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отримання </w:t>
      </w:r>
      <w:r w:rsidR="00966366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затверджених </w:t>
      </w:r>
      <w:r w:rsidR="00966366" w:rsidRPr="009919D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Замовником</w:t>
      </w:r>
      <w:r w:rsidR="00966366" w:rsidRPr="009919D2">
        <w:rPr>
          <w:rFonts w:ascii="Times New Roman" w:eastAsia="Times New Roman" w:hAnsi="Times New Roman" w:cs="Times New Roman"/>
          <w:b/>
          <w:bCs/>
          <w:color w:val="ED0000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кваліфікаційних критеріїв для Кандидатів;</w:t>
      </w:r>
    </w:p>
    <w:p w14:paraId="142D877F" w14:textId="58C871E8" w:rsidR="00E26FD0" w:rsidRPr="009919D2" w:rsidRDefault="00E26FD0" w:rsidP="00784A82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ED0000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визначення </w:t>
      </w:r>
      <w:r w:rsidR="003A5092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стратегії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пошуку, галузевих сегментів та компаній, у яких можуть працювати кандидати з необхідним професійним та управлінським досвідом;</w:t>
      </w:r>
    </w:p>
    <w:p w14:paraId="49FA5E06" w14:textId="2D3B8715" w:rsidR="00E26FD0" w:rsidRPr="009919D2" w:rsidRDefault="00E26FD0" w:rsidP="00784A82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ED0000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моніторинг ринку потенційних кандидатів, публікація оголошення щодо пошуку, обробка отриманих даних;</w:t>
      </w:r>
    </w:p>
    <w:p w14:paraId="514A0E49" w14:textId="7194F8B9" w:rsidR="00E26FD0" w:rsidRPr="009919D2" w:rsidRDefault="00BB364D" w:rsidP="00784A82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ED0000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E26FD0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ідб</w:t>
      </w:r>
      <w:r w:rsidR="003D6159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і</w:t>
      </w:r>
      <w:r w:rsidR="00E26FD0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 </w:t>
      </w:r>
      <w:r w:rsidR="000E4FB1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E26FD0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андидатів із підібраних кандидатур, </w:t>
      </w:r>
      <w:r w:rsidR="002E2AED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опрацювання </w:t>
      </w:r>
      <w:r w:rsidR="00B736E9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їхніх </w:t>
      </w:r>
      <w:r w:rsidR="002E2AED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документів (резюме, мотиваційні листи, </w:t>
      </w:r>
      <w:r w:rsidR="00002591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заяви про незалежність, </w:t>
      </w:r>
      <w:r w:rsidR="00C4121D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документи щодо ділової репутації </w:t>
      </w:r>
      <w:r w:rsidR="00A17418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згідно з пунктом 1 Вимог КМУ тощо</w:t>
      </w:r>
      <w:r w:rsidR="002E2AED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), </w:t>
      </w:r>
      <w:r w:rsidR="00E26FD0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проведення співбесід з </w:t>
      </w:r>
      <w:r w:rsidR="000B482A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E26FD0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андидатами, що включає перевірку Виконавцем </w:t>
      </w:r>
      <w:r w:rsidR="00885B34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ї</w:t>
      </w:r>
      <w:r w:rsidR="00E26FD0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 компетенції, наявності досвіду відповідно до завдання та вимог до посади Замовника;</w:t>
      </w:r>
    </w:p>
    <w:p w14:paraId="0A9FF398" w14:textId="04ED1981" w:rsidR="009C722A" w:rsidRPr="009919D2" w:rsidRDefault="00E26FD0" w:rsidP="00784A82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ED0000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надання </w:t>
      </w:r>
      <w:r w:rsidR="000E4FB1" w:rsidRPr="009919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Замовнику</w:t>
      </w:r>
      <w:r w:rsidRPr="009919D2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  <w14:ligatures w14:val="none"/>
        </w:rPr>
        <w:t xml:space="preserve"> 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спис</w:t>
      </w:r>
      <w:r w:rsidR="00606330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 </w:t>
      </w:r>
      <w:r w:rsidR="000B482A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андидатів (від трьох до п’яти Кандидатів на кожну посаду)</w:t>
      </w:r>
      <w:r w:rsidR="00715BAC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детальн</w:t>
      </w:r>
      <w:r w:rsidR="00A305D8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і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звіт</w:t>
      </w:r>
      <w:r w:rsidR="00A305D8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 кожному</w:t>
      </w:r>
      <w:r w:rsidR="00C5742C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 Кандидатів</w:t>
      </w:r>
      <w:r w:rsidR="00C5742C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(анкетні данні, інформація щодо попередніх місць роботи, </w:t>
      </w:r>
      <w:r w:rsidR="00490E6F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специфічного досвіду, особистих якостей, мотивація кандидата, оцінка компетенцій, придатності для виконання конкретного кола обов’язків тощо)</w:t>
      </w:r>
      <w:r w:rsidR="000141A3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650F95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рейтинг</w:t>
      </w:r>
      <w:r w:rsidR="00467943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650F95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Кандидатів із зазначенням кількості балів кожного Кандидата </w:t>
      </w:r>
      <w:r w:rsidR="00B355B8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залежності від його придатності до роботи на посаді незалежного члена Наглядової ради,</w:t>
      </w:r>
      <w:r w:rsidR="000141A3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документ</w:t>
      </w:r>
      <w:r w:rsidR="00AB2CB0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ів</w:t>
      </w:r>
      <w:r w:rsidR="000141A3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Кандидатів (резюме, мотиваційні листи, заяви про незалежність, документи щодо ділової репутації згідно з пунктом 1 Вимог КМУ тощо)</w:t>
      </w:r>
      <w:r w:rsidR="00490E6F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 строк</w:t>
      </w:r>
      <w:r w:rsidR="000B482A" w:rsidRPr="009919D2">
        <w:rPr>
          <w:rFonts w:ascii="Times New Roman" w:eastAsia="Times New Roman" w:hAnsi="Times New Roman" w:cs="Times New Roman"/>
          <w:color w:val="ED0000"/>
          <w:kern w:val="0"/>
          <w:sz w:val="28"/>
          <w:szCs w:val="28"/>
          <w:lang w:eastAsia="ru-RU"/>
          <w14:ligatures w14:val="none"/>
        </w:rPr>
        <w:t xml:space="preserve"> </w:t>
      </w:r>
      <w:r w:rsidR="00C325E0" w:rsidRPr="009919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>до</w:t>
      </w:r>
      <w:r w:rsidR="00FC22ED" w:rsidRPr="009919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331231" w:rsidRPr="009919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60 </w:t>
      </w:r>
      <w:r w:rsidR="00AB2CB0" w:rsidRPr="009919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календарних</w:t>
      </w:r>
      <w:r w:rsidR="00FC22ED" w:rsidRPr="009919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днів </w:t>
      </w:r>
      <w:r w:rsidR="007851A7" w:rsidRPr="009919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з дня підписання договору.</w:t>
      </w:r>
    </w:p>
    <w:p w14:paraId="3D017108" w14:textId="5EF904AE" w:rsidR="009C722A" w:rsidRPr="009919D2" w:rsidRDefault="009C722A" w:rsidP="00784A82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ED0000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організація співбесід </w:t>
      </w:r>
      <w:r w:rsidR="00E9357C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Кандидатів 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із представниками </w:t>
      </w:r>
      <w:r w:rsidRPr="009919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Робоч</w:t>
      </w:r>
      <w:r w:rsidR="00D21E9D" w:rsidRPr="009919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ої</w:t>
      </w:r>
      <w:r w:rsidRPr="009919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груп</w:t>
      </w:r>
      <w:r w:rsidR="00D21E9D" w:rsidRPr="009919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и</w:t>
      </w:r>
      <w:r w:rsidRPr="009919D2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BBDE7BE" w14:textId="12356BC5" w:rsidR="009C722A" w:rsidRPr="009919D2" w:rsidRDefault="009C722A" w:rsidP="00784A82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ED0000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перевірка рекомендацій найкращих </w:t>
      </w:r>
      <w:r w:rsidR="00177C65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андидатів </w:t>
      </w:r>
      <w:r w:rsidR="0041058E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і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 списку, надання консультацій щодо </w:t>
      </w:r>
      <w:r w:rsidR="00890AEE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ідбору кандидатів;</w:t>
      </w:r>
    </w:p>
    <w:p w14:paraId="6C7DA3FE" w14:textId="3CA87C04" w:rsidR="00E26FD0" w:rsidRPr="009919D2" w:rsidRDefault="009C722A" w:rsidP="00784A82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ED0000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формування та подання</w:t>
      </w:r>
      <w:r w:rsidRPr="009919D2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  <w14:ligatures w14:val="none"/>
        </w:rPr>
        <w:t xml:space="preserve"> </w:t>
      </w:r>
      <w:r w:rsidR="00F67826" w:rsidRPr="009919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Замовнику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списку </w:t>
      </w:r>
      <w:r w:rsidR="00E57D4A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додатков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их Кандидатів</w:t>
      </w:r>
      <w:r w:rsidR="008440DC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 разі </w:t>
      </w:r>
      <w:r w:rsidR="008D1025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гарантійної заміни</w:t>
      </w:r>
      <w:r w:rsidR="008440DC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Кандидат</w:t>
      </w:r>
      <w:r w:rsidR="008D1025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ів</w:t>
      </w:r>
      <w:r w:rsidR="008440DC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445DF150" w14:textId="77777777" w:rsidR="00096885" w:rsidRPr="009919D2" w:rsidRDefault="00096885" w:rsidP="00096885">
      <w:pPr>
        <w:pStyle w:val="a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3D2939E" w14:textId="50964847" w:rsidR="00D028D4" w:rsidRPr="009919D2" w:rsidRDefault="00D028D4" w:rsidP="00860CB9">
      <w:pPr>
        <w:pStyle w:val="a7"/>
        <w:ind w:left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Результатом надання </w:t>
      </w:r>
      <w:r w:rsidR="00561CA3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Виконавцем 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послуг</w:t>
      </w:r>
      <w:r w:rsidR="00561CA3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є (послуги вважаються наданими </w:t>
      </w:r>
      <w:r w:rsidR="00561CA3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Виконавцем 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після) укладення договорів з трьома незалежними членами Наглядової ради.</w:t>
      </w:r>
    </w:p>
    <w:p w14:paraId="01F559B0" w14:textId="77777777" w:rsidR="00096885" w:rsidRPr="009919D2" w:rsidRDefault="00096885" w:rsidP="00096885">
      <w:pPr>
        <w:keepNext/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Calibri" w:hAnsi="Times New Roman" w:cs="Times New Roman"/>
          <w:b/>
          <w:i/>
          <w:iCs/>
          <w:kern w:val="0"/>
          <w:sz w:val="28"/>
          <w:szCs w:val="28"/>
          <w:lang w:eastAsia="ru-RU"/>
          <w14:ligatures w14:val="none"/>
        </w:rPr>
        <w:lastRenderedPageBreak/>
        <w:t xml:space="preserve">Гарантійна заміна </w:t>
      </w:r>
      <w:r w:rsidRPr="009919D2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ru-RU"/>
          <w14:ligatures w14:val="none"/>
        </w:rPr>
        <w:t>Кандидата</w:t>
      </w:r>
      <w:r w:rsidRPr="009919D2">
        <w:rPr>
          <w:rFonts w:ascii="Times New Roman" w:eastAsia="Calibri" w:hAnsi="Times New Roman" w:cs="Times New Roman"/>
          <w:b/>
          <w:i/>
          <w:iCs/>
          <w:kern w:val="0"/>
          <w:sz w:val="28"/>
          <w:szCs w:val="28"/>
          <w:lang w:eastAsia="ru-RU"/>
          <w14:ligatures w14:val="none"/>
        </w:rPr>
        <w:t>(</w:t>
      </w:r>
      <w:proofErr w:type="spellStart"/>
      <w:r w:rsidRPr="009919D2">
        <w:rPr>
          <w:rFonts w:ascii="Times New Roman" w:eastAsia="Calibri" w:hAnsi="Times New Roman" w:cs="Times New Roman"/>
          <w:b/>
          <w:i/>
          <w:iCs/>
          <w:kern w:val="0"/>
          <w:sz w:val="28"/>
          <w:szCs w:val="28"/>
          <w:lang w:eastAsia="ru-RU"/>
          <w14:ligatures w14:val="none"/>
        </w:rPr>
        <w:t>ів</w:t>
      </w:r>
      <w:proofErr w:type="spellEnd"/>
      <w:r w:rsidRPr="009919D2">
        <w:rPr>
          <w:rFonts w:ascii="Times New Roman" w:eastAsia="Calibri" w:hAnsi="Times New Roman" w:cs="Times New Roman"/>
          <w:b/>
          <w:i/>
          <w:iCs/>
          <w:kern w:val="0"/>
          <w:sz w:val="28"/>
          <w:szCs w:val="28"/>
          <w:lang w:eastAsia="ru-RU"/>
          <w14:ligatures w14:val="none"/>
        </w:rPr>
        <w:t xml:space="preserve">) </w:t>
      </w:r>
    </w:p>
    <w:p w14:paraId="3C7E735A" w14:textId="187CF5A5" w:rsidR="00096885" w:rsidRPr="009919D2" w:rsidRDefault="00096885" w:rsidP="00096885">
      <w:pPr>
        <w:keepNext/>
        <w:tabs>
          <w:tab w:val="left" w:pos="567"/>
        </w:tabs>
        <w:spacing w:before="120" w:after="120" w:line="23" w:lineRule="atLeast"/>
        <w:ind w:left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Виконавець</w:t>
      </w:r>
      <w:r w:rsidR="00930E89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0687E" w:rsidRPr="009919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протягом 15</w:t>
      </w:r>
      <w:r w:rsidR="00930E89" w:rsidRPr="009919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робочих днів з </w:t>
      </w:r>
      <w:r w:rsidR="00CB2CD5" w:rsidRPr="009919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дня</w:t>
      </w:r>
      <w:r w:rsidR="0010687E" w:rsidRPr="009919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отримання повідомлення від Замовника</w:t>
      </w:r>
      <w:r w:rsidR="0010687E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CB2CD5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без додаткової оплати</w:t>
      </w:r>
      <w:r w:rsidR="0010687E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формує та подає </w:t>
      </w:r>
      <w:r w:rsidR="00DD1CFF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Замовнику</w:t>
      </w: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список додаткових Кандидатів у разі якщо (не виключно):</w:t>
      </w:r>
    </w:p>
    <w:p w14:paraId="5A1C294D" w14:textId="497B995B" w:rsidR="00096885" w:rsidRPr="009919D2" w:rsidRDefault="00096885" w:rsidP="00096885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120" w:line="23" w:lineRule="atLeast"/>
        <w:ind w:left="1134" w:hanging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Кандидат відмовився від обіймання посади до моменту призначення, що унеможливлює його призначення на посаду незалежного члена Наглядової ради; </w:t>
      </w:r>
    </w:p>
    <w:p w14:paraId="05694525" w14:textId="77777777" w:rsidR="00096885" w:rsidRPr="009919D2" w:rsidRDefault="00096885" w:rsidP="00096885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120" w:line="23" w:lineRule="atLeast"/>
        <w:ind w:left="1134" w:hanging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Кандидат відмовився від обіймання посади після призначення, але до моменту вступу на посаду незалежного члена Наглядової ради; </w:t>
      </w:r>
    </w:p>
    <w:p w14:paraId="328E4B93" w14:textId="6CE7ED06" w:rsidR="00096885" w:rsidRPr="009919D2" w:rsidRDefault="009919D2" w:rsidP="00096885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120" w:line="23" w:lineRule="atLeast"/>
        <w:ind w:left="1134" w:hanging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</w:t>
      </w:r>
      <w:r w:rsidR="00096885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острокового припинення повноважень незалежного члена Наглядової ради протягом року після призначення.</w:t>
      </w:r>
    </w:p>
    <w:p w14:paraId="4739E7E6" w14:textId="217CCDD5" w:rsidR="00C325E0" w:rsidRPr="009919D2" w:rsidRDefault="00C325E0" w:rsidP="00096885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120" w:line="23" w:lineRule="atLeast"/>
        <w:ind w:left="1134" w:hanging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919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Кандидат не </w:t>
      </w:r>
      <w:proofErr w:type="spellStart"/>
      <w:r w:rsidRPr="009919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>пройшов</w:t>
      </w:r>
      <w:proofErr w:type="spellEnd"/>
      <w:r w:rsidRPr="009919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9919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>відбір</w:t>
      </w:r>
      <w:proofErr w:type="spellEnd"/>
      <w:r w:rsidRPr="009919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gramStart"/>
      <w:r w:rsidRPr="009919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>на посаду</w:t>
      </w:r>
      <w:proofErr w:type="gramEnd"/>
      <w:r w:rsidRPr="009919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 члена </w:t>
      </w:r>
      <w:proofErr w:type="spellStart"/>
      <w:r w:rsidRPr="009919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>Наглядової</w:t>
      </w:r>
      <w:proofErr w:type="spellEnd"/>
      <w:r w:rsidRPr="009919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 ради</w:t>
      </w:r>
      <w:r w:rsidR="009919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="009919D2" w:rsidRPr="009919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ru-RU" w:eastAsia="ru-RU"/>
          <w14:ligatures w14:val="none"/>
        </w:rPr>
        <w:t>Робочою</w:t>
      </w:r>
      <w:proofErr w:type="spellEnd"/>
      <w:r w:rsidR="009919D2" w:rsidRPr="009919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="009919D2" w:rsidRPr="009919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ru-RU" w:eastAsia="ru-RU"/>
          <w14:ligatures w14:val="none"/>
        </w:rPr>
        <w:t>групою</w:t>
      </w:r>
      <w:proofErr w:type="spellEnd"/>
      <w:r w:rsidRPr="009919D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ru-RU" w:eastAsia="ru-RU"/>
          <w14:ligatures w14:val="none"/>
        </w:rPr>
        <w:t>.</w:t>
      </w:r>
    </w:p>
    <w:p w14:paraId="7B54DED4" w14:textId="77777777" w:rsidR="00096885" w:rsidRPr="009919D2" w:rsidRDefault="00096885" w:rsidP="00096885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ED0000"/>
          <w:kern w:val="0"/>
          <w:sz w:val="28"/>
          <w:szCs w:val="28"/>
          <w:lang w:eastAsia="ru-RU"/>
          <w14:ligatures w14:val="none"/>
        </w:rPr>
      </w:pPr>
    </w:p>
    <w:p w14:paraId="06058C9C" w14:textId="29FA6FDE" w:rsidR="00CF1DCA" w:rsidRPr="0054675D" w:rsidRDefault="00CF1DCA" w:rsidP="00CF1DCA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54675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Розрахунки за Договором</w:t>
      </w:r>
      <w:r w:rsidR="000C2E22" w:rsidRPr="0054675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 </w:t>
      </w:r>
      <w:r w:rsidR="000C2E22" w:rsidRPr="0054675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між </w:t>
      </w:r>
      <w:r w:rsidR="00E51ABA" w:rsidRPr="0054675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За</w:t>
      </w:r>
      <w:r w:rsidR="000C2E22" w:rsidRPr="0054675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мовником і </w:t>
      </w:r>
      <w:r w:rsidR="00E51ABA" w:rsidRPr="0054675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</w:t>
      </w:r>
      <w:r w:rsidR="000C2E22" w:rsidRPr="0054675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иконавцем</w:t>
      </w:r>
      <w:r w:rsidRPr="0054675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здійснюються в національній валюті України шляхом безготівкового перерахунку коштів на рахунок Виконавця в такому порядку:</w:t>
      </w:r>
    </w:p>
    <w:p w14:paraId="1DF0025C" w14:textId="3ADF5494" w:rsidR="00CF1DCA" w:rsidRPr="0054675D" w:rsidRDefault="00CF1DCA" w:rsidP="00CF1DCA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54675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</w:t>
      </w:r>
      <w:r w:rsidR="00704629" w:rsidRPr="0054675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4</w:t>
      </w:r>
      <w:r w:rsidRPr="0054675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0 % від загальної вартості Послуг (аванс</w:t>
      </w:r>
      <w:r w:rsidR="00704629" w:rsidRPr="0054675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) </w:t>
      </w:r>
      <w:r w:rsidRPr="0054675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 тому числі</w:t>
      </w:r>
      <w:r w:rsidR="008D22B2" w:rsidRPr="0054675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ПДВ,</w:t>
      </w:r>
      <w:r w:rsidRPr="0054675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протягом 5 робочих днів від дати укладання Договору</w:t>
      </w:r>
    </w:p>
    <w:p w14:paraId="306EA71A" w14:textId="04484BE7" w:rsidR="008440DC" w:rsidRPr="009919D2" w:rsidRDefault="00CF1DCA" w:rsidP="009919D2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4675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- </w:t>
      </w:r>
      <w:r w:rsidR="00704629" w:rsidRPr="0054675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6</w:t>
      </w:r>
      <w:r w:rsidRPr="0054675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0 %, від загальної вартості Послуг, в тому числі ПДВ</w:t>
      </w:r>
      <w:r w:rsidR="008D22B2" w:rsidRPr="0054675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, </w:t>
      </w:r>
      <w:r w:rsidRPr="0054675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протягом 15 робочих днів </w:t>
      </w:r>
      <w:r w:rsidR="008440DC" w:rsidRPr="0054675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на </w:t>
      </w:r>
      <w:r w:rsidR="008440DC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підставі підписаного сторонами акту надання послуг та </w:t>
      </w:r>
      <w:r w:rsidR="00A4121B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8440DC" w:rsidRPr="009919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иставленого Виконавцем рахунку. </w:t>
      </w:r>
    </w:p>
    <w:sectPr w:rsidR="008440DC" w:rsidRPr="009919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40EBC"/>
    <w:multiLevelType w:val="hybridMultilevel"/>
    <w:tmpl w:val="041E32D2"/>
    <w:lvl w:ilvl="0" w:tplc="1D7C6B72">
      <w:numFmt w:val="bullet"/>
      <w:lvlText w:val="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B6C8B"/>
    <w:multiLevelType w:val="hybridMultilevel"/>
    <w:tmpl w:val="5B5C7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D5905"/>
    <w:multiLevelType w:val="hybridMultilevel"/>
    <w:tmpl w:val="700C011A"/>
    <w:lvl w:ilvl="0" w:tplc="CF4C2A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390013">
    <w:abstractNumId w:val="2"/>
  </w:num>
  <w:num w:numId="2" w16cid:durableId="328824655">
    <w:abstractNumId w:val="1"/>
  </w:num>
  <w:num w:numId="3" w16cid:durableId="179964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2"/>
    <w:rsid w:val="00002591"/>
    <w:rsid w:val="00010EC2"/>
    <w:rsid w:val="000141A3"/>
    <w:rsid w:val="0002039A"/>
    <w:rsid w:val="00082648"/>
    <w:rsid w:val="00096885"/>
    <w:rsid w:val="000A60A4"/>
    <w:rsid w:val="000B482A"/>
    <w:rsid w:val="000B74CC"/>
    <w:rsid w:val="000C2E22"/>
    <w:rsid w:val="000E4FB1"/>
    <w:rsid w:val="0010331B"/>
    <w:rsid w:val="00105EC7"/>
    <w:rsid w:val="0010687E"/>
    <w:rsid w:val="00144B44"/>
    <w:rsid w:val="001466B2"/>
    <w:rsid w:val="001642E9"/>
    <w:rsid w:val="0017767C"/>
    <w:rsid w:val="00177C65"/>
    <w:rsid w:val="00183759"/>
    <w:rsid w:val="001A006B"/>
    <w:rsid w:val="001A170C"/>
    <w:rsid w:val="001A69A0"/>
    <w:rsid w:val="001C05EF"/>
    <w:rsid w:val="00201CFB"/>
    <w:rsid w:val="00203000"/>
    <w:rsid w:val="00210E0C"/>
    <w:rsid w:val="002718C8"/>
    <w:rsid w:val="002E28B3"/>
    <w:rsid w:val="002E2AED"/>
    <w:rsid w:val="00310A00"/>
    <w:rsid w:val="0032647C"/>
    <w:rsid w:val="00331035"/>
    <w:rsid w:val="00331231"/>
    <w:rsid w:val="003A5092"/>
    <w:rsid w:val="003D6159"/>
    <w:rsid w:val="003F7814"/>
    <w:rsid w:val="003F7EC0"/>
    <w:rsid w:val="0041058E"/>
    <w:rsid w:val="00415466"/>
    <w:rsid w:val="00442799"/>
    <w:rsid w:val="00461B14"/>
    <w:rsid w:val="00467943"/>
    <w:rsid w:val="00490E6F"/>
    <w:rsid w:val="00494642"/>
    <w:rsid w:val="004A46AE"/>
    <w:rsid w:val="004D689B"/>
    <w:rsid w:val="00517D18"/>
    <w:rsid w:val="00526CBE"/>
    <w:rsid w:val="0053053C"/>
    <w:rsid w:val="0054675D"/>
    <w:rsid w:val="00554449"/>
    <w:rsid w:val="00555530"/>
    <w:rsid w:val="00561CA3"/>
    <w:rsid w:val="00565501"/>
    <w:rsid w:val="00592CD5"/>
    <w:rsid w:val="005B7D3B"/>
    <w:rsid w:val="005F42EF"/>
    <w:rsid w:val="00606330"/>
    <w:rsid w:val="00642C7B"/>
    <w:rsid w:val="00646916"/>
    <w:rsid w:val="00650F95"/>
    <w:rsid w:val="00671859"/>
    <w:rsid w:val="006A243C"/>
    <w:rsid w:val="006C1ECA"/>
    <w:rsid w:val="006D2B73"/>
    <w:rsid w:val="00701D68"/>
    <w:rsid w:val="00704629"/>
    <w:rsid w:val="00715BAC"/>
    <w:rsid w:val="00732683"/>
    <w:rsid w:val="00784A82"/>
    <w:rsid w:val="007851A7"/>
    <w:rsid w:val="00795CE3"/>
    <w:rsid w:val="007C462E"/>
    <w:rsid w:val="007C6C3B"/>
    <w:rsid w:val="00807855"/>
    <w:rsid w:val="00811D20"/>
    <w:rsid w:val="0081418F"/>
    <w:rsid w:val="00832DC9"/>
    <w:rsid w:val="00835514"/>
    <w:rsid w:val="00837C3C"/>
    <w:rsid w:val="008440DC"/>
    <w:rsid w:val="00860CB9"/>
    <w:rsid w:val="008744D4"/>
    <w:rsid w:val="00885B34"/>
    <w:rsid w:val="00890AEE"/>
    <w:rsid w:val="008D1025"/>
    <w:rsid w:val="008D22B2"/>
    <w:rsid w:val="008D5521"/>
    <w:rsid w:val="0092531E"/>
    <w:rsid w:val="00930E89"/>
    <w:rsid w:val="00945F4A"/>
    <w:rsid w:val="00966366"/>
    <w:rsid w:val="009919D2"/>
    <w:rsid w:val="00992E42"/>
    <w:rsid w:val="00994BDC"/>
    <w:rsid w:val="009C722A"/>
    <w:rsid w:val="009D5907"/>
    <w:rsid w:val="009E459A"/>
    <w:rsid w:val="009F580A"/>
    <w:rsid w:val="00A07E45"/>
    <w:rsid w:val="00A17418"/>
    <w:rsid w:val="00A305D8"/>
    <w:rsid w:val="00A4121B"/>
    <w:rsid w:val="00A51F69"/>
    <w:rsid w:val="00A56CF3"/>
    <w:rsid w:val="00A645AC"/>
    <w:rsid w:val="00A76DE9"/>
    <w:rsid w:val="00A97C7A"/>
    <w:rsid w:val="00AA6AE2"/>
    <w:rsid w:val="00AB2CB0"/>
    <w:rsid w:val="00AE5AD1"/>
    <w:rsid w:val="00B14754"/>
    <w:rsid w:val="00B20FCD"/>
    <w:rsid w:val="00B355B8"/>
    <w:rsid w:val="00B736E9"/>
    <w:rsid w:val="00B76435"/>
    <w:rsid w:val="00BB364D"/>
    <w:rsid w:val="00BB6566"/>
    <w:rsid w:val="00BC59F8"/>
    <w:rsid w:val="00BD43A7"/>
    <w:rsid w:val="00BE0CDE"/>
    <w:rsid w:val="00BF4637"/>
    <w:rsid w:val="00C0517A"/>
    <w:rsid w:val="00C325E0"/>
    <w:rsid w:val="00C37BC8"/>
    <w:rsid w:val="00C4121D"/>
    <w:rsid w:val="00C5106C"/>
    <w:rsid w:val="00C5742C"/>
    <w:rsid w:val="00C63F6E"/>
    <w:rsid w:val="00C66EC5"/>
    <w:rsid w:val="00C72125"/>
    <w:rsid w:val="00C74B12"/>
    <w:rsid w:val="00C90463"/>
    <w:rsid w:val="00CB2CD5"/>
    <w:rsid w:val="00CB5BA7"/>
    <w:rsid w:val="00CB6E36"/>
    <w:rsid w:val="00CF1DCA"/>
    <w:rsid w:val="00D028D4"/>
    <w:rsid w:val="00D115E5"/>
    <w:rsid w:val="00D21E9D"/>
    <w:rsid w:val="00D2766A"/>
    <w:rsid w:val="00D57AFC"/>
    <w:rsid w:val="00D74A62"/>
    <w:rsid w:val="00D771EF"/>
    <w:rsid w:val="00D9611F"/>
    <w:rsid w:val="00DD1CFF"/>
    <w:rsid w:val="00DD3B26"/>
    <w:rsid w:val="00DF0BC8"/>
    <w:rsid w:val="00DF16A0"/>
    <w:rsid w:val="00DF5586"/>
    <w:rsid w:val="00E15C0C"/>
    <w:rsid w:val="00E2523D"/>
    <w:rsid w:val="00E26FD0"/>
    <w:rsid w:val="00E42E03"/>
    <w:rsid w:val="00E51ABA"/>
    <w:rsid w:val="00E57D4A"/>
    <w:rsid w:val="00E6572E"/>
    <w:rsid w:val="00E766D4"/>
    <w:rsid w:val="00E9357C"/>
    <w:rsid w:val="00E97DA9"/>
    <w:rsid w:val="00ED2D47"/>
    <w:rsid w:val="00ED703D"/>
    <w:rsid w:val="00EE0489"/>
    <w:rsid w:val="00EE5879"/>
    <w:rsid w:val="00F16D7D"/>
    <w:rsid w:val="00F25580"/>
    <w:rsid w:val="00F30A37"/>
    <w:rsid w:val="00F3735A"/>
    <w:rsid w:val="00F67826"/>
    <w:rsid w:val="00F73A84"/>
    <w:rsid w:val="00FB2509"/>
    <w:rsid w:val="00FB25CE"/>
    <w:rsid w:val="00FC22ED"/>
    <w:rsid w:val="00FC5AF0"/>
    <w:rsid w:val="00FE3361"/>
    <w:rsid w:val="00FE5910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4960"/>
  <w15:chartTrackingRefBased/>
  <w15:docId w15:val="{6FE86289-EB5F-4EC9-9B44-9B747AD0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A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A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A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A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A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A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A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A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A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A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84A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84A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84A8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84A8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84A8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84A8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84A8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84A8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84A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84A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84A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84A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84A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84A8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84A8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84A8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84A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84A8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84A82"/>
    <w:rPr>
      <w:b/>
      <w:bCs/>
      <w:smallCaps/>
      <w:color w:val="0F4761" w:themeColor="accent1" w:themeShade="BF"/>
      <w:spacing w:val="5"/>
    </w:rPr>
  </w:style>
  <w:style w:type="paragraph" w:styleId="ac">
    <w:name w:val="Revision"/>
    <w:hidden/>
    <w:uiPriority w:val="99"/>
    <w:semiHidden/>
    <w:rsid w:val="0081418F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526CB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26CB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26CB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6C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6CBE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A56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ivli.pro/cabinet/purchases/state_plan/view/281148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43a7b066-fe01-43db-b0ea-a9c1f1a18fc5}" enabled="0" method="" siteId="{43a7b066-fe01-43db-b0ea-a9c1f1a18fc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Oliinyk, Taisa</dc:creator>
  <cp:keywords/>
  <dc:description/>
  <cp:lastModifiedBy>admin</cp:lastModifiedBy>
  <cp:revision>2</cp:revision>
  <dcterms:created xsi:type="dcterms:W3CDTF">2024-03-03T14:26:00Z</dcterms:created>
  <dcterms:modified xsi:type="dcterms:W3CDTF">2024-03-03T14:26:00Z</dcterms:modified>
</cp:coreProperties>
</file>