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7"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2 до тендерної документації</w:t>
      </w:r>
    </w:p>
    <w:p>
      <w:pPr>
        <w:keepNext w:val="true"/>
        <w:spacing w:before="40" w:after="0" w:line="240"/>
        <w:ind w:right="0" w:left="0" w:firstLine="0"/>
        <w:jc w:val="left"/>
        <w:rPr>
          <w:rFonts w:ascii="Times New Roman" w:hAnsi="Times New Roman" w:cs="Times New Roman" w:eastAsia="Times New Roman"/>
          <w:i/>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ІНФОРМАЦІЯ ПРО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ТЕХНІЧНІ, ЯКІСНІ ТА КІЛЬКІСНІ</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ХАРАКТЕРИСТИКИ ПРЕДМЕТА ЗАКУПІВЛІ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Технічна специфікація)</w:t>
      </w:r>
    </w:p>
    <w:p>
      <w:pPr>
        <w:suppressAutoHyphens w:val="true"/>
        <w:spacing w:before="0" w:after="0" w:line="240"/>
        <w:ind w:right="0" w:left="0" w:firstLine="567"/>
        <w:jc w:val="both"/>
        <w:rPr>
          <w:rFonts w:ascii="Times New Roman" w:hAnsi="Times New Roman" w:cs="Times New Roman" w:eastAsia="Times New Roman"/>
          <w:i/>
          <w:color w:val="auto"/>
          <w:spacing w:val="7"/>
          <w:position w:val="0"/>
          <w:sz w:val="24"/>
          <w:shd w:fill="auto" w:val="clear"/>
        </w:rPr>
      </w:pPr>
      <w:r>
        <w:rPr>
          <w:rFonts w:ascii="Times New Roman" w:hAnsi="Times New Roman" w:cs="Times New Roman" w:eastAsia="Times New Roman"/>
          <w:i/>
          <w:color w:val="auto"/>
          <w:spacing w:val="7"/>
          <w:position w:val="0"/>
          <w:sz w:val="24"/>
          <w:shd w:fill="auto" w:val="clear"/>
        </w:rPr>
        <w:t xml:space="preserve">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ascii="Times New Roman" w:hAnsi="Times New Roman" w:cs="Times New Roman" w:eastAsia="Times New Roman"/>
          <w:i/>
          <w:color w:val="auto"/>
          <w:spacing w:val="7"/>
          <w:position w:val="0"/>
          <w:sz w:val="24"/>
          <w:shd w:fill="auto" w:val="clear"/>
        </w:rPr>
        <w:t xml:space="preserve">—</w:t>
      </w:r>
      <w:r>
        <w:rPr>
          <w:rFonts w:ascii="Times New Roman" w:hAnsi="Times New Roman" w:cs="Times New Roman" w:eastAsia="Times New Roman"/>
          <w:i/>
          <w:color w:val="auto"/>
          <w:spacing w:val="7"/>
          <w:position w:val="0"/>
          <w:sz w:val="24"/>
          <w:shd w:fill="auto" w:val="clear"/>
        </w:rPr>
        <w:t xml:space="preserve"> </w:t>
      </w:r>
      <w:r>
        <w:rPr>
          <w:rFonts w:ascii="Times New Roman" w:hAnsi="Times New Roman" w:cs="Times New Roman" w:eastAsia="Times New Roman"/>
          <w:i/>
          <w:color w:val="auto"/>
          <w:spacing w:val="7"/>
          <w:position w:val="0"/>
          <w:sz w:val="24"/>
          <w:shd w:fill="auto" w:val="clear"/>
        </w:rPr>
        <w:t xml:space="preserve">читати як вираз </w:t>
      </w:r>
      <w:r>
        <w:rPr>
          <w:rFonts w:ascii="Times New Roman" w:hAnsi="Times New Roman" w:cs="Times New Roman" w:eastAsia="Times New Roman"/>
          <w:i/>
          <w:color w:val="auto"/>
          <w:spacing w:val="7"/>
          <w:position w:val="0"/>
          <w:sz w:val="24"/>
          <w:shd w:fill="auto" w:val="clear"/>
        </w:rPr>
        <w:t xml:space="preserve">«</w:t>
      </w:r>
      <w:r>
        <w:rPr>
          <w:rFonts w:ascii="Times New Roman" w:hAnsi="Times New Roman" w:cs="Times New Roman" w:eastAsia="Times New Roman"/>
          <w:i/>
          <w:color w:val="auto"/>
          <w:spacing w:val="7"/>
          <w:position w:val="0"/>
          <w:sz w:val="24"/>
          <w:shd w:fill="auto" w:val="clear"/>
        </w:rPr>
        <w:t xml:space="preserve">або еквівалент</w:t>
      </w:r>
      <w:r>
        <w:rPr>
          <w:rFonts w:ascii="Times New Roman" w:hAnsi="Times New Roman" w:cs="Times New Roman" w:eastAsia="Times New Roman"/>
          <w:i/>
          <w:color w:val="auto"/>
          <w:spacing w:val="7"/>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Цибуля, Морква, Буряк, Капуста качанна, Огірки свіжі, Помідори свіжі, Перець солодкий, Яблука, Банани, Груші, Лимони, Апельсини, Мандарини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ДК 021:2015: </w:t>
      </w:r>
      <w:r>
        <w:rPr>
          <w:rFonts w:ascii="Times New Roman" w:hAnsi="Times New Roman" w:cs="Times New Roman" w:eastAsia="Times New Roman"/>
          <w:b/>
          <w:color w:val="auto"/>
          <w:spacing w:val="0"/>
          <w:position w:val="0"/>
          <w:sz w:val="28"/>
          <w:shd w:fill="auto" w:val="clear"/>
        </w:rPr>
        <w:t xml:space="preserve">03220000-9 </w:t>
      </w:r>
      <w:r>
        <w:rPr>
          <w:rFonts w:ascii="Times New Roman" w:hAnsi="Times New Roman" w:cs="Times New Roman" w:eastAsia="Times New Roman"/>
          <w:b/>
          <w:color w:val="auto"/>
          <w:spacing w:val="0"/>
          <w:position w:val="0"/>
          <w:sz w:val="28"/>
          <w:shd w:fill="auto" w:val="clear"/>
        </w:rPr>
        <w:t xml:space="preserve"> Овочі, фрукти та горіхи)</w:t>
      </w:r>
    </w:p>
    <w:p>
      <w:pPr>
        <w:spacing w:before="0" w:after="0" w:line="240"/>
        <w:ind w:right="0" w:left="0" w:firstLine="567"/>
        <w:jc w:val="both"/>
        <w:rPr>
          <w:rFonts w:ascii="Times New Roman" w:hAnsi="Times New Roman" w:cs="Times New Roman" w:eastAsia="Times New Roman"/>
          <w:b/>
          <w:color w:val="auto"/>
          <w:spacing w:val="7"/>
          <w:position w:val="0"/>
          <w:sz w:val="24"/>
          <w:shd w:fill="auto" w:val="clear"/>
        </w:rPr>
      </w:pPr>
      <w:r>
        <w:rPr>
          <w:rFonts w:ascii="Times New Roman" w:hAnsi="Times New Roman" w:cs="Times New Roman" w:eastAsia="Times New Roman"/>
          <w:b/>
          <w:color w:val="auto"/>
          <w:spacing w:val="7"/>
          <w:position w:val="0"/>
          <w:sz w:val="24"/>
          <w:shd w:fill="auto" w:val="clear"/>
        </w:rPr>
        <w:t xml:space="preserve">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pPr>
        <w:spacing w:before="60" w:after="0" w:line="240"/>
        <w:ind w:right="0" w:left="0" w:firstLine="0"/>
        <w:jc w:val="left"/>
        <w:rPr>
          <w:rFonts w:ascii="Times New Roman" w:hAnsi="Times New Roman" w:cs="Times New Roman" w:eastAsia="Times New Roman"/>
          <w:b/>
          <w:color w:val="auto"/>
          <w:spacing w:val="0"/>
          <w:position w:val="0"/>
          <w:sz w:val="10"/>
          <w:shd w:fill="FFFFFF" w:val="clear"/>
        </w:rPr>
      </w:pPr>
    </w:p>
    <w:p>
      <w:pPr>
        <w:spacing w:before="6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2. </w:t>
      </w:r>
      <w:r>
        <w:rPr>
          <w:rFonts w:ascii="Times New Roman" w:hAnsi="Times New Roman" w:cs="Times New Roman" w:eastAsia="Times New Roman"/>
          <w:b/>
          <w:color w:val="auto"/>
          <w:spacing w:val="0"/>
          <w:position w:val="0"/>
          <w:sz w:val="24"/>
          <w:shd w:fill="FFFFFF" w:val="clear"/>
        </w:rPr>
        <w:t xml:space="preserve">Технічні характеристики та вимоги:</w:t>
      </w:r>
    </w:p>
    <w:p>
      <w:pPr>
        <w:spacing w:before="6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Учасник у складі пропозиції пропонує продукцію урожаю 2023-2024 року</w:t>
      </w:r>
    </w:p>
    <w:p>
      <w:pPr>
        <w:spacing w:before="60" w:after="0" w:line="240"/>
        <w:ind w:right="0" w:left="0" w:firstLine="0"/>
        <w:jc w:val="left"/>
        <w:rPr>
          <w:rFonts w:ascii="Times New Roman" w:hAnsi="Times New Roman" w:cs="Times New Roman" w:eastAsia="Times New Roman"/>
          <w:b/>
          <w:color w:val="auto"/>
          <w:spacing w:val="0"/>
          <w:position w:val="0"/>
          <w:sz w:val="12"/>
          <w:shd w:fill="FFFFFF" w:val="clear"/>
        </w:rPr>
      </w:pPr>
    </w:p>
    <w:tbl>
      <w:tblPr/>
      <w:tblGrid>
        <w:gridCol w:w="2091"/>
        <w:gridCol w:w="3575"/>
        <w:gridCol w:w="2026"/>
        <w:gridCol w:w="1879"/>
      </w:tblGrid>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rFonts w:ascii="Times New Roman" w:hAnsi="Times New Roman" w:cs="Times New Roman" w:eastAsia="Times New Roman"/>
                <w:b/>
                <w:color w:val="auto"/>
                <w:spacing w:val="0"/>
                <w:position w:val="0"/>
                <w:sz w:val="24"/>
                <w:shd w:fill="auto" w:val="clear"/>
              </w:rPr>
            </w:pPr>
            <w:r>
              <w:rPr>
                <w:rFonts w:ascii="Segoe UI Symbol" w:hAnsi="Segoe UI Symbol" w:cs="Segoe UI Symbol" w:eastAsia="Segoe UI Symbol"/>
                <w:b/>
                <w:color w:val="auto"/>
                <w:spacing w:val="0"/>
                <w:position w:val="0"/>
                <w:sz w:val="24"/>
                <w:shd w:fill="auto" w:val="clear"/>
              </w:rPr>
              <w:t xml:space="preserve">№</w:t>
            </w:r>
          </w:p>
          <w:p>
            <w:pPr>
              <w:keepNext w:val="true"/>
              <w:spacing w:before="0" w:after="0" w:line="264"/>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з/п</w:t>
            </w:r>
          </w:p>
        </w:tc>
        <w:tc>
          <w:tcPr>
            <w:tcW w:w="35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Найменування предмета закупівлі</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Одиниці виміру</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Кількість </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Цибуля</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08"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800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Морква</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800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Буряк</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1400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Капуста качанна</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1400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Огірки свіжі </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100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Помідори свіжі </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100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Перець солодкий</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100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Яблука</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500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Банани</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500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Груші</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500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Лимони</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80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Апельсини</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150</w:t>
            </w:r>
          </w:p>
        </w:tc>
      </w:tr>
      <w:tr>
        <w:trPr>
          <w:trHeight w:val="1" w:hRule="atLeast"/>
          <w:jc w:val="center"/>
        </w:trPr>
        <w:tc>
          <w:tcPr>
            <w:tcW w:w="20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0" w:line="264"/>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3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Мандарини</w:t>
            </w:r>
          </w:p>
        </w:tc>
        <w:tc>
          <w:tcPr>
            <w:tcW w:w="20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150</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w:t>
      </w:r>
      <w:r>
        <w:rPr>
          <w:rFonts w:ascii="Times New Roman" w:hAnsi="Times New Roman" w:cs="Times New Roman" w:eastAsia="Times New Roman"/>
          <w:b/>
          <w:color w:val="auto"/>
          <w:spacing w:val="0"/>
          <w:position w:val="0"/>
          <w:sz w:val="24"/>
          <w:shd w:fill="auto" w:val="clear"/>
        </w:rPr>
        <w:t xml:space="preserve">Технічні характеристики предмету закупівлі повинні відповідати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Овочі:</w:t>
      </w:r>
      <w:r>
        <w:rPr>
          <w:rFonts w:ascii="Times New Roman" w:hAnsi="Times New Roman" w:cs="Times New Roman" w:eastAsia="Times New Roman"/>
          <w:color w:val="000000"/>
          <w:spacing w:val="0"/>
          <w:position w:val="0"/>
          <w:sz w:val="24"/>
          <w:shd w:fill="auto" w:val="clear"/>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плісніви. Фасування: мішки, сітки.</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Фрукти:</w:t>
      </w:r>
      <w:r>
        <w:rPr>
          <w:rFonts w:ascii="Times New Roman" w:hAnsi="Times New Roman" w:cs="Times New Roman" w:eastAsia="Times New Roman"/>
          <w:color w:val="000000"/>
          <w:spacing w:val="0"/>
          <w:position w:val="0"/>
          <w:sz w:val="24"/>
          <w:shd w:fill="auto" w:val="clear"/>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плісніви. Фасування: ящик, коробка.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пакування та маркування продуктів повинні відповідати вимогам законів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інформацію для споживачів щодо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ДСТУ чи ТУ згідно якого зроблений продукт. На маркуванні повинно бути чітко зазначено алерген (у разі його наявності); наявність генно-модифікованих організмів; позначення, що ідентифікує партію, до якої належить такий харчовий продукт.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Упаковка товару (картонні або пластикові ящики та їх складові (перегородки, прокладки тощо)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23.12.1997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771/97-</w:t>
      </w:r>
      <w:r>
        <w:rPr>
          <w:rFonts w:ascii="Times New Roman" w:hAnsi="Times New Roman" w:cs="Times New Roman" w:eastAsia="Times New Roman"/>
          <w:color w:val="auto"/>
          <w:spacing w:val="0"/>
          <w:position w:val="0"/>
          <w:sz w:val="24"/>
          <w:shd w:fill="auto" w:val="clear"/>
        </w:rPr>
        <w:t xml:space="preserve">ВР (із змінами), постанові КМУ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24.03.2021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305; </w:t>
      </w:r>
      <w:r>
        <w:rPr>
          <w:rFonts w:ascii="Times New Roman" w:hAnsi="Times New Roman" w:cs="Times New Roman" w:eastAsia="Times New Roman"/>
          <w:color w:val="auto"/>
          <w:spacing w:val="0"/>
          <w:position w:val="0"/>
          <w:sz w:val="24"/>
          <w:shd w:fill="auto" w:val="clear"/>
        </w:rPr>
        <w:t xml:space="preserve">Наказу Міністерства охорони здоров’я України від 24.03.2016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234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Санітарного регламенту для дошкільних навчальних закладів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ГОСТ, ДСТУ або ТУ, які діють на момент проведення процедури закупівлі.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2.2. </w:t>
      </w:r>
      <w:r>
        <w:rPr>
          <w:rFonts w:ascii="Times New Roman" w:hAnsi="Times New Roman" w:cs="Times New Roman" w:eastAsia="Times New Roman"/>
          <w:b/>
          <w:color w:val="auto"/>
          <w:spacing w:val="0"/>
          <w:position w:val="0"/>
          <w:sz w:val="24"/>
          <w:shd w:fill="auto" w:val="clear"/>
        </w:rPr>
        <w:t xml:space="preserve">Учасник повинен у складі своєї пропозиції надати наступні документи чинні на дату подання тендерної пропозиції:</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декларація виробника та/або якісне посвідчення та/або сертифікат якості на товар, який пропонується до постачання;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позитивний  Акт аудиту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реалізує політику у сфері безпечності та окремих показників якості харчових продуктів;</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інформацію в довільній формі про наявний транспортний засіб та документ підтверджуючий право власності на даний транспорт, копія санітарного паспорту на спеціалізований автомобіль, дійсного на момент подання пропозиції, яким буде здійснюватись постачання товару;</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документальне підтвердження проведення дезінфекції транспортного засобу, задіяному в доставці харчового продукту до закладів освіти (договір на проведення дезінфекції та останній акт надання послуг, тощо);</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копія санітарної книжки водія/експедитора;</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позитивний Акт перевірки транспортного засобу, складеного за результатами планового (позапланового) заходу державного контролю стосовно додержання оператором ринку гігієнічних вимог щодо поводження з харчовими продуктами (без недоліків чи невідповідностей). Акт повинен бути складений компетентним  органом, що реалізує державну політику у сфері безпечності та окремих показників якості харчових продуктів. Даний Акт надається у разі відсутності відомостей щодо перевірки транспортного засобу в Акті, складеному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p>
    <w:p>
      <w:pPr>
        <w:spacing w:before="0" w:after="60" w:line="240"/>
        <w:ind w:right="0" w:left="0" w:firstLine="567"/>
        <w:jc w:val="both"/>
        <w:rPr>
          <w:rFonts w:ascii="Times New Roman CYR" w:hAnsi="Times New Roman CYR" w:cs="Times New Roman CYR" w:eastAsia="Times New Roman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копія повідомлення або наказу про присвоєння особистого реєстраційного номеру потужності, виданого управлінням Держпродспоживслужби або іншим  уповноваженим органом, або лист в довільній формі, за підписом уповноваженої особи Учасника та завірений печаткою (у разі використання), в якому зазначається інформація про присвоєння особистого реєстраційного номеру потужності (в такому листі обов’язково зазначається особистий реєстраційний номер потужності)</w:t>
      </w:r>
      <w:r>
        <w:rPr>
          <w:rFonts w:ascii="Times New Roman CYR" w:hAnsi="Times New Roman CYR" w:cs="Times New Roman CYR" w:eastAsia="Times New Roman CYR"/>
          <w:color w:val="auto"/>
          <w:spacing w:val="0"/>
          <w:position w:val="0"/>
          <w:sz w:val="24"/>
          <w:shd w:fill="auto" w:val="clear"/>
        </w:rPr>
        <w:t xml:space="preserve">;</w:t>
      </w:r>
    </w:p>
    <w:p>
      <w:pPr>
        <w:spacing w:before="0" w:after="6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Учасник (оператор ринку) повинен мати потужності, на які видано експлуатаційний дозвіл, відповідно до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надати його у складі своєї пропозиції.</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якщо учасник є виробником товару, учасник має надати експлуатаційний дозвіл виробника товару. При цьому учасник (оператор ринку) повинен мати потужності, що пройшли державну реєстрацію відповідно до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наказу Мінагрополітики та продовольства України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39 </w:t>
      </w:r>
      <w:r>
        <w:rPr>
          <w:rFonts w:ascii="Times New Roman" w:hAnsi="Times New Roman" w:cs="Times New Roman" w:eastAsia="Times New Roman"/>
          <w:color w:val="auto"/>
          <w:spacing w:val="0"/>
          <w:position w:val="0"/>
          <w:sz w:val="24"/>
          <w:shd w:fill="auto" w:val="clear"/>
        </w:rPr>
        <w:t xml:space="preserve">від 10.02.2016р.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разі якщо учасник не повинен складати або відповідно до норм чинного законодавства  не зобов’язаний складати якийсь зі вказаних в тендерній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A"/>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2.3.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u w:val="single"/>
          <w:shd w:fill="auto" w:val="clear"/>
        </w:rPr>
        <w:t xml:space="preserve">Вимоги до постачання продуктів харчування: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 час перевезення Товару постачальники і виробники зобов’язані дотримувати умов транспортування згідно ст. 44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Гігієнічні вимоги до транспортних засобів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p>
    <w:p>
      <w:pPr>
        <w:numPr>
          <w:ilvl w:val="0"/>
          <w:numId w:val="66"/>
        </w:numPr>
        <w:tabs>
          <w:tab w:val="left" w:pos="360" w:leader="none"/>
        </w:tabs>
        <w:suppressAutoHyphens w:val="true"/>
        <w:spacing w:before="0" w:after="0" w:line="240"/>
        <w:ind w:right="0" w:left="0" w:firstLine="0"/>
        <w:jc w:val="both"/>
        <w:rPr>
          <w:rFonts w:ascii="Times New Roman CYR" w:hAnsi="Times New Roman CYR" w:cs="Times New Roman CYR" w:eastAsia="Times New Roman CYR"/>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Товар повинен транспортуватися у спеціалізованому транспорті, обладнаний холодильним  обладнанням з відповідною температурою згідно зі стандартами. </w:t>
      </w:r>
    </w:p>
    <w:p>
      <w:pPr>
        <w:numPr>
          <w:ilvl w:val="0"/>
          <w:numId w:val="66"/>
        </w:numPr>
        <w:tabs>
          <w:tab w:val="left" w:pos="3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Товар, що закуповується, </w:t>
      </w:r>
      <w:r>
        <w:rPr>
          <w:rFonts w:ascii="Times New Roman" w:hAnsi="Times New Roman" w:cs="Times New Roman" w:eastAsia="Times New Roman"/>
          <w:color w:val="auto"/>
          <w:spacing w:val="0"/>
          <w:position w:val="0"/>
          <w:sz w:val="24"/>
          <w:shd w:fill="auto" w:val="clear"/>
        </w:rPr>
        <w:t xml:space="preserve">повинен супроводжуватися товарно-транспортною накладною, посвідченням про якість</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або декларацією виробника, яку видають оператори ринку, що здійснюють виробництво продукції. В даних документах повинна міститися інформація: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дата видачі; найменування потужностей виробника та його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експлуатаційного дозволу чи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реєстрації; найменування постачальника; його адреса та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експлуатаційного дозволу чи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температура, при необхідності вологість; термін зберігання; згідно якого нормативного документа продукт виготовлений (ДСТУ, ТУ та ін.); </w:t>
      </w:r>
      <w:r>
        <w:rPr>
          <w:rFonts w:ascii="Times New Roman" w:hAnsi="Times New Roman" w:cs="Times New Roman" w:eastAsia="Times New Roman"/>
          <w:color w:val="auto"/>
          <w:spacing w:val="0"/>
          <w:position w:val="0"/>
          <w:sz w:val="24"/>
          <w:shd w:fill="auto" w:val="clear"/>
        </w:rPr>
        <w:t xml:space="preserve">ґатунок, категорія, органолептична оцінка, тощо.</w:t>
      </w:r>
    </w:p>
    <w:p>
      <w:pPr>
        <w:numPr>
          <w:ilvl w:val="0"/>
          <w:numId w:val="66"/>
        </w:numPr>
        <w:tabs>
          <w:tab w:val="left" w:pos="426"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Товар, що постачається, повинен бути без синтетичних барвників, ароматизаторів, підсилювачів смаку, підсолоджувачів, консервантів та ГМО. Для підтвердження якості товару при постачанні кожна партія повинна супроводжуватися декларацією виробника та/або посвідченням якості.</w:t>
      </w:r>
    </w:p>
    <w:p>
      <w:pPr>
        <w:numPr>
          <w:ilvl w:val="0"/>
          <w:numId w:val="66"/>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Умови пакування та маркування продуктів повинні відповідати вимогам законів України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Про інформацію для споживачів щодо харчових продуктів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ДСТУ чи ТУ згідно якого зроблений продукт. На маркуванні повинно бути чітко зазначено алерген (у разі його наявності); наявність генно-модифікованих організмів; позначення, що ідентифікує партію, до якої належить такий харчовий продукт.</w:t>
      </w:r>
    </w:p>
    <w:p>
      <w:pPr>
        <w:numPr>
          <w:ilvl w:val="0"/>
          <w:numId w:val="66"/>
        </w:numPr>
        <w:tabs>
          <w:tab w:val="left" w:pos="360" w:leader="none"/>
          <w:tab w:val="left" w:pos="0" w:leader="none"/>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Тара повинна забезпечувати повну цілісність товару при транспортуванні. Вартість тари (упаковки) включено в загальну вартість товару. Тара (упаковка)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незворотна.</w:t>
      </w:r>
    </w:p>
    <w:p>
      <w:pPr>
        <w:numPr>
          <w:ilvl w:val="0"/>
          <w:numId w:val="66"/>
        </w:numPr>
        <w:tabs>
          <w:tab w:val="left" w:pos="360" w:leader="none"/>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Водій автотранспорту, а також особи, що супроводжують продукти, повинні мати особисті медичні книжки.</w:t>
      </w:r>
    </w:p>
    <w:p>
      <w:pPr>
        <w:numPr>
          <w:ilvl w:val="0"/>
          <w:numId w:val="66"/>
        </w:numPr>
        <w:tabs>
          <w:tab w:val="left" w:pos="360" w:leader="none"/>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90% від загального терміну зберігання на момент поставки.</w:t>
      </w:r>
    </w:p>
    <w:p>
      <w:pPr>
        <w:numPr>
          <w:ilvl w:val="0"/>
          <w:numId w:val="66"/>
        </w:numPr>
        <w:tabs>
          <w:tab w:val="left" w:pos="360" w:leader="none"/>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Доставка до місця призначення, навантаження та розвантаження Товару здійснюється Постачальником за його власний  рахунок та його транспортом.</w:t>
      </w:r>
    </w:p>
    <w:p>
      <w:pPr>
        <w:numPr>
          <w:ilvl w:val="0"/>
          <w:numId w:val="66"/>
        </w:numPr>
        <w:tabs>
          <w:tab w:val="left" w:pos="360" w:leader="none"/>
          <w:tab w:val="left" w:pos="0" w:leader="none"/>
          <w:tab w:val="left" w:pos="284" w:leader="none"/>
          <w:tab w:val="left" w:pos="330"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Продукція поставляється згідно заявок Замовника.</w:t>
      </w:r>
    </w:p>
    <w:p>
      <w:pPr>
        <w:tabs>
          <w:tab w:val="left" w:pos="284" w:leader="none"/>
          <w:tab w:val="left" w:pos="330"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Умови відмови Замовника від постачання продукції:</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продукція  не відповідає показникам безпечності та якості, якщо має значні забруднення, із наявними залишками слизу, </w:t>
      </w:r>
      <w:r>
        <w:rPr>
          <w:rFonts w:ascii="Times New Roman" w:hAnsi="Times New Roman" w:cs="Times New Roman" w:eastAsia="Times New Roman"/>
          <w:color w:val="000000"/>
          <w:spacing w:val="0"/>
          <w:position w:val="0"/>
          <w:sz w:val="24"/>
          <w:shd w:fill="auto" w:val="clear"/>
        </w:rPr>
        <w:t xml:space="preserve">із зайвою зовнішньою вологістю, зів’ялістю, пророслю, із механічними пошкодженнями та пошкодженнями шкідниками, із невідповідним плямистостим кольором, незрілі, із ознаками гнилизни та плісняви, із </w:t>
      </w:r>
      <w:r>
        <w:rPr>
          <w:rFonts w:ascii="Times New Roman" w:hAnsi="Times New Roman" w:cs="Times New Roman" w:eastAsia="Times New Roman"/>
          <w:color w:val="auto"/>
          <w:spacing w:val="0"/>
          <w:position w:val="0"/>
          <w:sz w:val="24"/>
          <w:shd w:fill="auto" w:val="clear"/>
        </w:rPr>
        <w:t xml:space="preserve">пошкодженою упаковкою, присутнім стороннім запахом, із ознаками псування</w:t>
      </w:r>
      <w:r>
        <w:rPr>
          <w:rFonts w:ascii="Times New Roman" w:hAnsi="Times New Roman" w:cs="Times New Roman" w:eastAsia="Times New Roman"/>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A"/>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3. </w:t>
      </w:r>
      <w:r>
        <w:rPr>
          <w:rFonts w:ascii="Times New Roman" w:hAnsi="Times New Roman" w:cs="Times New Roman" w:eastAsia="Times New Roman"/>
          <w:b/>
          <w:color w:val="00000A"/>
          <w:spacing w:val="0"/>
          <w:position w:val="0"/>
          <w:sz w:val="24"/>
          <w:u w:val="single"/>
          <w:shd w:fill="auto" w:val="clear"/>
        </w:rPr>
        <w:t xml:space="preserve">Місце та строк поставки:</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40020, </w:t>
      </w:r>
      <w:r>
        <w:rPr>
          <w:rFonts w:ascii="Times New Roman" w:hAnsi="Times New Roman" w:cs="Times New Roman" w:eastAsia="Times New Roman"/>
          <w:color w:val="000000"/>
          <w:spacing w:val="0"/>
          <w:position w:val="0"/>
          <w:sz w:val="24"/>
          <w:shd w:fill="auto" w:val="clear"/>
        </w:rPr>
        <w:t xml:space="preserve">м. Суми, проспект Перемоги, 49</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Строк поставки: протягом 2024 року до 31.12.2024 року включно, згідно Заявок Замовника </w:t>
      </w:r>
      <w:r>
        <w:rPr>
          <w:rFonts w:ascii="Times New Roman" w:hAnsi="Times New Roman" w:cs="Times New Roman" w:eastAsia="Times New Roman"/>
          <w:color w:val="auto"/>
          <w:spacing w:val="0"/>
          <w:position w:val="0"/>
          <w:sz w:val="24"/>
          <w:shd w:fill="auto" w:val="clear"/>
        </w:rPr>
        <w:t xml:space="preserve">протягом тижня з понеділка по п’ятницю: щоденно </w:t>
      </w:r>
      <w:r>
        <w:rPr>
          <w:rFonts w:ascii="Times New Roman" w:hAnsi="Times New Roman" w:cs="Times New Roman" w:eastAsia="Times New Roman"/>
          <w:b/>
          <w:color w:val="auto"/>
          <w:spacing w:val="0"/>
          <w:position w:val="0"/>
          <w:sz w:val="24"/>
          <w:shd w:fill="auto" w:val="clear"/>
        </w:rPr>
        <w:t xml:space="preserve">до 6 год. 30 хв</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Обсяг кожної поставки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згідно із заявками Замовника, без обмеження розміру мінімального замовлення.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Заявки подаються Замовником в письмовій формі або електронною поштою на електронну адресу Учасника зазначенцу в реквізитах Договору.</w:t>
      </w:r>
    </w:p>
    <w:p>
      <w:pPr>
        <w:tabs>
          <w:tab w:val="left" w:pos="0" w:leader="none"/>
          <w:tab w:val="left" w:pos="720" w:leader="none"/>
        </w:tabs>
        <w:spacing w:before="0" w:after="0" w:line="240"/>
        <w:ind w:right="6"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Заявка на поставку товару подається Замовником Учаснику один раз у тиждень з визначенням обсягу та асортименту товару на наступний тиждень. Замовник має право на коригування поданої заявки, але не пізніше ніж за один робочий день до дати поставки Товару. Коригування заявки здійснюється Замовником в тій самій формі, що і її подача.  </w:t>
      </w:r>
    </w:p>
    <w:p>
      <w:pPr>
        <w:spacing w:before="0" w:after="0" w:line="240"/>
        <w:ind w:right="0" w:left="0" w:firstLine="709"/>
        <w:jc w:val="both"/>
        <w:rPr>
          <w:rFonts w:ascii="Times New Roman" w:hAnsi="Times New Roman" w:cs="Times New Roman" w:eastAsia="Times New Roman"/>
          <w:color w:val="000000"/>
          <w:spacing w:val="0"/>
          <w:position w:val="0"/>
          <w:sz w:val="10"/>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або еквівалент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або еквівалент</w:t>
      </w:r>
      <w:r>
        <w:rPr>
          <w:rFonts w:ascii="Times New Roman" w:hAnsi="Times New Roman" w:cs="Times New Roman" w:eastAsia="Times New Roman"/>
          <w:color w:val="000000"/>
          <w:spacing w:val="0"/>
          <w:position w:val="0"/>
          <w:sz w:val="24"/>
          <w:shd w:fill="auto" w:val="clear"/>
        </w:rPr>
        <w:t xml:space="preserve">».</w:t>
      </w:r>
    </w:p>
    <w:p>
      <w:pPr>
        <w:tabs>
          <w:tab w:val="center" w:pos="4845" w:leader="none"/>
          <w:tab w:val="left" w:pos="814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