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 xml:space="preserve">УПРАВЛІННЯ ОСВІТИ І НАУКИ </w:t>
      </w:r>
    </w:p>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C211AE" w:rsidTr="003E50A2">
        <w:trPr>
          <w:trHeight w:val="2034"/>
        </w:trPr>
        <w:tc>
          <w:tcPr>
            <w:tcW w:w="4678" w:type="dxa"/>
          </w:tcPr>
          <w:p w:rsidR="00C211AE" w:rsidRPr="00C211AE" w:rsidRDefault="00C211AE" w:rsidP="00C211AE">
            <w:pPr>
              <w:spacing w:after="0" w:line="240" w:lineRule="auto"/>
              <w:rPr>
                <w:rFonts w:ascii="Times New Roman" w:hAnsi="Times New Roman" w:cs="Times New Roman"/>
                <w:b/>
                <w:bCs/>
                <w:color w:val="FF0000"/>
                <w:lang w:eastAsia="ru-RU"/>
              </w:rPr>
            </w:pPr>
          </w:p>
        </w:tc>
        <w:tc>
          <w:tcPr>
            <w:tcW w:w="5103" w:type="dxa"/>
          </w:tcPr>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r w:rsidRPr="00C211AE">
              <w:rPr>
                <w:rFonts w:ascii="Times New Roman" w:hAnsi="Times New Roman" w:cs="Times New Roman"/>
                <w:b/>
                <w:bCs/>
                <w:noProof/>
                <w:lang w:eastAsia="ru-RU"/>
              </w:rPr>
              <w:t>ЗАТВЕРДЖЕНО</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 xml:space="preserve">РІШЕННЯМ УПОВНОВАЖЕНОЇ ОСОБИ </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ПРОТОКОЛ №</w:t>
            </w:r>
            <w:r w:rsidR="00984CFD">
              <w:rPr>
                <w:rFonts w:ascii="Times New Roman" w:hAnsi="Times New Roman" w:cs="Times New Roman"/>
                <w:b/>
                <w:bCs/>
                <w:lang w:eastAsia="ru-RU"/>
              </w:rPr>
              <w:t>16</w:t>
            </w:r>
          </w:p>
          <w:p w:rsidR="00C211AE" w:rsidRPr="00C211AE" w:rsidRDefault="00C211AE" w:rsidP="00C211AE">
            <w:pPr>
              <w:spacing w:after="0" w:line="240" w:lineRule="auto"/>
              <w:rPr>
                <w:rFonts w:ascii="Times New Roman" w:hAnsi="Times New Roman" w:cs="Times New Roman"/>
                <w:b/>
                <w:lang w:eastAsia="ru-RU"/>
              </w:rPr>
            </w:pPr>
            <w:r w:rsidRPr="00C211AE">
              <w:rPr>
                <w:rFonts w:ascii="Times New Roman" w:hAnsi="Times New Roman" w:cs="Times New Roman"/>
                <w:b/>
                <w:bCs/>
                <w:lang w:eastAsia="ru-RU"/>
              </w:rPr>
              <w:t xml:space="preserve">ВІД </w:t>
            </w:r>
            <w:r w:rsidRPr="00C211AE">
              <w:rPr>
                <w:rFonts w:ascii="Times New Roman" w:hAnsi="Times New Roman" w:cs="Times New Roman"/>
                <w:b/>
                <w:lang w:eastAsia="ru-RU"/>
              </w:rPr>
              <w:t>«</w:t>
            </w:r>
            <w:r w:rsidR="00984CFD">
              <w:rPr>
                <w:rFonts w:ascii="Times New Roman" w:hAnsi="Times New Roman" w:cs="Times New Roman"/>
                <w:b/>
                <w:lang w:eastAsia="ru-RU"/>
              </w:rPr>
              <w:t>18</w:t>
            </w:r>
            <w:r w:rsidRPr="00C211AE">
              <w:rPr>
                <w:rFonts w:ascii="Times New Roman" w:hAnsi="Times New Roman" w:cs="Times New Roman"/>
                <w:b/>
                <w:lang w:eastAsia="ru-RU"/>
              </w:rPr>
              <w:t xml:space="preserve">»  </w:t>
            </w:r>
            <w:r w:rsidR="007B40C8">
              <w:rPr>
                <w:rFonts w:ascii="Times New Roman" w:hAnsi="Times New Roman" w:cs="Times New Roman"/>
                <w:b/>
                <w:lang w:eastAsia="ru-RU"/>
              </w:rPr>
              <w:t>січня</w:t>
            </w:r>
            <w:r w:rsidRPr="00C211AE">
              <w:rPr>
                <w:rFonts w:ascii="Times New Roman" w:hAnsi="Times New Roman" w:cs="Times New Roman"/>
                <w:b/>
                <w:lang w:eastAsia="ru-RU"/>
              </w:rPr>
              <w:t xml:space="preserve">  202</w:t>
            </w:r>
            <w:r w:rsidR="007B40C8">
              <w:rPr>
                <w:rFonts w:ascii="Times New Roman" w:hAnsi="Times New Roman" w:cs="Times New Roman"/>
                <w:b/>
                <w:lang w:eastAsia="ru-RU"/>
              </w:rPr>
              <w:t>3</w:t>
            </w:r>
            <w:r w:rsidRPr="00C211AE">
              <w:rPr>
                <w:rFonts w:ascii="Times New Roman" w:hAnsi="Times New Roman" w:cs="Times New Roman"/>
                <w:b/>
                <w:lang w:eastAsia="ru-RU"/>
              </w:rPr>
              <w:t xml:space="preserve"> року</w:t>
            </w:r>
          </w:p>
          <w:p w:rsidR="00C211AE" w:rsidRPr="00C211AE" w:rsidRDefault="00C211AE" w:rsidP="00C211AE">
            <w:pPr>
              <w:spacing w:after="0" w:line="240" w:lineRule="auto"/>
              <w:rPr>
                <w:rFonts w:ascii="Times New Roman" w:hAnsi="Times New Roman" w:cs="Times New Roman"/>
                <w:b/>
                <w:lang w:eastAsia="ru-RU"/>
              </w:rPr>
            </w:pPr>
          </w:p>
          <w:p w:rsidR="00C211AE" w:rsidRPr="00C211AE" w:rsidRDefault="00C211AE" w:rsidP="00C211AE">
            <w:pPr>
              <w:spacing w:after="0" w:line="240" w:lineRule="auto"/>
              <w:rPr>
                <w:rFonts w:ascii="Times New Roman" w:hAnsi="Times New Roman" w:cs="Times New Roman"/>
                <w:b/>
                <w:bCs/>
                <w:color w:val="000000"/>
                <w:lang w:val="ru-RU" w:eastAsia="ru-RU"/>
              </w:rPr>
            </w:pPr>
            <w:r w:rsidRPr="00C211AE">
              <w:rPr>
                <w:rFonts w:ascii="Times New Roman" w:hAnsi="Times New Roman" w:cs="Times New Roman"/>
                <w:b/>
                <w:bCs/>
                <w:color w:val="000000"/>
                <w:lang w:eastAsia="ru-RU"/>
              </w:rPr>
              <w:t>_________________</w:t>
            </w:r>
            <w:r w:rsidRPr="00C211AE">
              <w:rPr>
                <w:rFonts w:ascii="Times New Roman" w:hAnsi="Times New Roman" w:cs="Times New Roman"/>
                <w:b/>
                <w:bCs/>
                <w:color w:val="000000"/>
                <w:lang w:val="ru-RU" w:eastAsia="ru-RU"/>
              </w:rPr>
              <w:t xml:space="preserve"> </w:t>
            </w:r>
            <w:r w:rsidR="00391C7C">
              <w:rPr>
                <w:rFonts w:ascii="Times New Roman" w:hAnsi="Times New Roman" w:cs="Times New Roman"/>
                <w:b/>
                <w:bCs/>
                <w:color w:val="000000"/>
                <w:lang w:val="ru-RU" w:eastAsia="ru-RU"/>
              </w:rPr>
              <w:t xml:space="preserve"> </w:t>
            </w:r>
            <w:proofErr w:type="spellStart"/>
            <w:r w:rsidRPr="00C211AE">
              <w:rPr>
                <w:rFonts w:ascii="Times New Roman" w:hAnsi="Times New Roman" w:cs="Times New Roman"/>
                <w:b/>
                <w:bCs/>
                <w:color w:val="000000"/>
                <w:lang w:val="ru-RU" w:eastAsia="ru-RU"/>
              </w:rPr>
              <w:t>Наталія</w:t>
            </w:r>
            <w:proofErr w:type="spellEnd"/>
            <w:r w:rsidRPr="00C211AE">
              <w:rPr>
                <w:rFonts w:ascii="Times New Roman" w:hAnsi="Times New Roman" w:cs="Times New Roman"/>
                <w:b/>
                <w:bCs/>
                <w:color w:val="000000"/>
                <w:lang w:val="ru-RU" w:eastAsia="ru-RU"/>
              </w:rPr>
              <w:t xml:space="preserve"> ПРИГОДА</w:t>
            </w:r>
          </w:p>
          <w:p w:rsidR="00C211AE" w:rsidRPr="00C211AE" w:rsidRDefault="00C211AE" w:rsidP="00C211AE">
            <w:pPr>
              <w:spacing w:after="0" w:line="240" w:lineRule="auto"/>
              <w:rPr>
                <w:rFonts w:ascii="Times New Roman" w:hAnsi="Times New Roman" w:cs="Times New Roman"/>
                <w:b/>
                <w:bCs/>
                <w:noProof/>
                <w:lang w:eastAsia="ru-RU"/>
              </w:rPr>
            </w:pPr>
          </w:p>
        </w:tc>
      </w:tr>
    </w:tbl>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pacing w:after="0" w:line="240" w:lineRule="auto"/>
        <w:jc w:val="center"/>
        <w:rPr>
          <w:rFonts w:ascii="Times New Roman" w:hAnsi="Times New Roman" w:cs="Times New Roman"/>
          <w:b/>
          <w:sz w:val="24"/>
          <w:szCs w:val="24"/>
        </w:rPr>
      </w:pPr>
      <w:r w:rsidRPr="00C211AE">
        <w:rPr>
          <w:rFonts w:ascii="Times New Roman" w:hAnsi="Times New Roman" w:cs="Times New Roman"/>
          <w:b/>
          <w:sz w:val="24"/>
          <w:szCs w:val="24"/>
        </w:rPr>
        <w:t xml:space="preserve">ТЕНДЕРНА  ДОКУМЕНТАЦІЯ </w:t>
      </w: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984CFD" w:rsidRPr="00984CFD" w:rsidRDefault="00C211AE" w:rsidP="00984CFD">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C211AE">
        <w:rPr>
          <w:rFonts w:ascii="Times New Roman" w:hAnsi="Times New Roman" w:cs="Times New Roman"/>
          <w:bCs/>
          <w:color w:val="000000"/>
          <w:sz w:val="24"/>
          <w:szCs w:val="24"/>
        </w:rPr>
        <w:t xml:space="preserve">Предмет закупівлі: </w:t>
      </w:r>
      <w:r w:rsidR="00984CFD" w:rsidRPr="00984CFD">
        <w:rPr>
          <w:rFonts w:ascii="Times New Roman" w:hAnsi="Times New Roman" w:cs="Times New Roman"/>
          <w:b/>
          <w:i/>
          <w:iCs/>
          <w:color w:val="000000"/>
          <w:sz w:val="24"/>
          <w:szCs w:val="24"/>
        </w:rPr>
        <w:t xml:space="preserve">Молоко коров’яче пастеризоване </w:t>
      </w:r>
    </w:p>
    <w:p w:rsidR="00D56B00" w:rsidRPr="00984CFD" w:rsidRDefault="00984CFD" w:rsidP="00984CFD">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984CFD">
        <w:rPr>
          <w:rFonts w:ascii="Times New Roman" w:hAnsi="Times New Roman" w:cs="Times New Roman"/>
          <w:b/>
          <w:i/>
          <w:iCs/>
          <w:color w:val="000000"/>
          <w:sz w:val="24"/>
          <w:szCs w:val="24"/>
        </w:rPr>
        <w:t>(код ДК 021-2015 (CPV): 15510000-6- Молоко та вершки)</w:t>
      </w:r>
    </w:p>
    <w:p w:rsidR="00E4267C" w:rsidRPr="00984CFD" w:rsidRDefault="00E4267C" w:rsidP="00E4267C">
      <w:pPr>
        <w:tabs>
          <w:tab w:val="left" w:pos="0"/>
          <w:tab w:val="left" w:pos="567"/>
          <w:tab w:val="left" w:pos="851"/>
        </w:tabs>
        <w:spacing w:after="0" w:line="0" w:lineRule="atLeast"/>
        <w:jc w:val="center"/>
        <w:rPr>
          <w:rFonts w:ascii="Times New Roman" w:hAnsi="Times New Roman" w:cs="Times New Roman"/>
          <w:b/>
          <w:i/>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p w:rsidR="00E4267C" w:rsidRPr="00C211AE" w:rsidRDefault="00E4267C" w:rsidP="00C211AE">
      <w:pPr>
        <w:spacing w:after="0" w:line="240" w:lineRule="auto"/>
        <w:jc w:val="center"/>
        <w:rPr>
          <w:rFonts w:ascii="Times New Roman" w:hAnsi="Times New Roman" w:cs="Times New Roman"/>
          <w:b/>
          <w:bCs/>
          <w:lang w:eastAsia="ru-RU"/>
        </w:rPr>
      </w:pPr>
    </w:p>
    <w:p w:rsidR="00C211AE" w:rsidRPr="00C211AE" w:rsidRDefault="00C211AE" w:rsidP="00C211AE">
      <w:pPr>
        <w:spacing w:after="0" w:line="240" w:lineRule="auto"/>
        <w:jc w:val="center"/>
        <w:rPr>
          <w:rFonts w:ascii="Times New Roman" w:hAnsi="Times New Roman" w:cs="Times New Roman"/>
          <w:b/>
          <w:bCs/>
          <w:lang w:eastAsia="ru-RU"/>
        </w:rPr>
      </w:pPr>
    </w:p>
    <w:p w:rsidR="003E5420" w:rsidRDefault="003E5420">
      <w:pPr>
        <w:spacing w:after="0" w:line="240" w:lineRule="auto"/>
        <w:rPr>
          <w:rFonts w:ascii="Times New Roman" w:eastAsia="Times New Roman" w:hAnsi="Times New Roman" w:cs="Times New Roman"/>
          <w:sz w:val="24"/>
          <w:szCs w:val="24"/>
        </w:rPr>
      </w:pP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w:t>
            </w:r>
            <w:proofErr w:type="spellStart"/>
            <w:r w:rsidRPr="0061344C">
              <w:rPr>
                <w:rFonts w:ascii="Times New Roman" w:eastAsia="Times New Roman" w:hAnsi="Times New Roman" w:cs="Times New Roman"/>
                <w:sz w:val="24"/>
                <w:szCs w:val="24"/>
              </w:rPr>
              <w:t>закупівель</w:t>
            </w:r>
            <w:proofErr w:type="spellEnd"/>
            <w:r w:rsidRPr="006134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proofErr w:type="spellStart"/>
            <w:r w:rsidRPr="00C325E2">
              <w:rPr>
                <w:rFonts w:ascii="Times New Roman" w:hAnsi="Times New Roman" w:cs="Times New Roman"/>
                <w:sz w:val="24"/>
                <w:szCs w:val="24"/>
                <w:lang w:eastAsia="ru-RU"/>
              </w:rPr>
              <w:t>тел</w:t>
            </w:r>
            <w:proofErr w:type="spellEnd"/>
            <w:r w:rsidRPr="00C325E2">
              <w:rPr>
                <w:rFonts w:ascii="Times New Roman" w:hAnsi="Times New Roman" w:cs="Times New Roman"/>
                <w:sz w:val="24"/>
                <w:szCs w:val="24"/>
                <w:lang w:eastAsia="ru-RU"/>
              </w:rPr>
              <w:t>.: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984CFD" w:rsidRPr="00984CFD" w:rsidRDefault="00984CFD" w:rsidP="00984CFD">
            <w:pPr>
              <w:tabs>
                <w:tab w:val="left" w:pos="0"/>
                <w:tab w:val="left" w:pos="567"/>
                <w:tab w:val="left" w:pos="851"/>
              </w:tabs>
              <w:spacing w:line="0" w:lineRule="atLeast"/>
              <w:jc w:val="center"/>
              <w:rPr>
                <w:rFonts w:ascii="Times New Roman" w:hAnsi="Times New Roman" w:cs="Times New Roman"/>
                <w:b/>
                <w:i/>
                <w:iCs/>
                <w:color w:val="000000"/>
                <w:sz w:val="24"/>
                <w:szCs w:val="24"/>
                <w:u w:val="single"/>
              </w:rPr>
            </w:pPr>
            <w:r w:rsidRPr="00984CFD">
              <w:rPr>
                <w:rFonts w:ascii="Times New Roman" w:hAnsi="Times New Roman" w:cs="Times New Roman"/>
                <w:b/>
                <w:i/>
                <w:iCs/>
                <w:color w:val="000000"/>
                <w:sz w:val="24"/>
                <w:szCs w:val="24"/>
                <w:u w:val="single"/>
              </w:rPr>
              <w:t xml:space="preserve">Молоко коров’яче пастеризоване </w:t>
            </w:r>
          </w:p>
          <w:p w:rsidR="00C325E2" w:rsidRPr="00262DCB" w:rsidRDefault="00984CFD" w:rsidP="00984CFD">
            <w:pPr>
              <w:tabs>
                <w:tab w:val="left" w:pos="0"/>
                <w:tab w:val="left" w:pos="567"/>
                <w:tab w:val="left" w:pos="851"/>
              </w:tabs>
              <w:spacing w:line="0" w:lineRule="atLeast"/>
              <w:jc w:val="center"/>
              <w:rPr>
                <w:rFonts w:ascii="Times New Roman" w:eastAsia="Times New Roman" w:hAnsi="Times New Roman" w:cs="Times New Roman"/>
                <w:i/>
                <w:sz w:val="24"/>
                <w:szCs w:val="24"/>
              </w:rPr>
            </w:pPr>
            <w:r w:rsidRPr="00984CFD">
              <w:rPr>
                <w:rFonts w:ascii="Times New Roman" w:hAnsi="Times New Roman" w:cs="Times New Roman"/>
                <w:b/>
                <w:i/>
                <w:iCs/>
                <w:color w:val="000000"/>
                <w:sz w:val="24"/>
                <w:szCs w:val="24"/>
                <w:u w:val="single"/>
              </w:rPr>
              <w:t>(код ДК 021-2015 (CPV): 15510000-6- Молоко та вершки)</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1344C" w:rsidRPr="0061344C" w:rsidRDefault="0061344C" w:rsidP="0061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61344C">
              <w:rPr>
                <w:rFonts w:ascii="Times New Roman" w:hAnsi="Times New Roman" w:cs="Times New Roman"/>
                <w:b/>
                <w:sz w:val="24"/>
                <w:szCs w:val="24"/>
              </w:rPr>
              <w:t>Місце поставки товарів:</w:t>
            </w:r>
            <w:r w:rsidRPr="0061344C">
              <w:rPr>
                <w:rFonts w:ascii="Times New Roman" w:hAnsi="Times New Roman" w:cs="Times New Roman"/>
                <w:sz w:val="24"/>
                <w:szCs w:val="24"/>
              </w:rPr>
              <w:t xml:space="preserve"> за адресами закладів освіти, згідно Додатку </w:t>
            </w:r>
            <w:r w:rsidR="002111C5">
              <w:rPr>
                <w:rFonts w:ascii="Times New Roman" w:hAnsi="Times New Roman" w:cs="Times New Roman"/>
                <w:sz w:val="24"/>
                <w:szCs w:val="24"/>
              </w:rPr>
              <w:t>5</w:t>
            </w:r>
            <w:r w:rsidRPr="0061344C">
              <w:rPr>
                <w:rFonts w:ascii="Times New Roman" w:hAnsi="Times New Roman" w:cs="Times New Roman"/>
                <w:sz w:val="24"/>
                <w:szCs w:val="24"/>
              </w:rPr>
              <w:t>;</w:t>
            </w:r>
          </w:p>
          <w:p w:rsidR="003E5420" w:rsidRDefault="0061344C" w:rsidP="00D56B00">
            <w:pPr>
              <w:widowControl w:val="0"/>
              <w:ind w:right="120"/>
              <w:jc w:val="both"/>
              <w:rPr>
                <w:rFonts w:ascii="Times New Roman" w:eastAsia="Times New Roman" w:hAnsi="Times New Roman" w:cs="Times New Roman"/>
                <w:i/>
                <w:color w:val="4A86E8"/>
                <w:sz w:val="24"/>
                <w:szCs w:val="24"/>
                <w:highlight w:val="white"/>
              </w:rPr>
            </w:pPr>
            <w:proofErr w:type="spellStart"/>
            <w:r w:rsidRPr="0061344C">
              <w:rPr>
                <w:rFonts w:ascii="Times New Roman" w:hAnsi="Times New Roman" w:cs="Times New Roman"/>
                <w:b/>
                <w:sz w:val="24"/>
                <w:szCs w:val="24"/>
                <w:lang w:val="ru-RU" w:eastAsia="ru-RU"/>
              </w:rPr>
              <w:t>Кількість</w:t>
            </w:r>
            <w:proofErr w:type="spellEnd"/>
            <w:r w:rsidRPr="0061344C">
              <w:rPr>
                <w:rFonts w:ascii="Times New Roman" w:hAnsi="Times New Roman" w:cs="Times New Roman"/>
                <w:b/>
                <w:sz w:val="24"/>
                <w:szCs w:val="24"/>
                <w:lang w:val="ru-RU" w:eastAsia="ru-RU"/>
              </w:rPr>
              <w:t xml:space="preserve">: </w:t>
            </w:r>
            <w:proofErr w:type="spellStart"/>
            <w:r w:rsidR="00D56B00">
              <w:rPr>
                <w:rFonts w:ascii="Times New Roman" w:hAnsi="Times New Roman" w:cs="Times New Roman"/>
                <w:sz w:val="24"/>
                <w:szCs w:val="24"/>
                <w:lang w:val="ru-RU" w:eastAsia="ru-RU"/>
              </w:rPr>
              <w:t>згідно</w:t>
            </w:r>
            <w:proofErr w:type="spellEnd"/>
            <w:r w:rsidR="00D56B00">
              <w:rPr>
                <w:rFonts w:ascii="Times New Roman" w:hAnsi="Times New Roman" w:cs="Times New Roman"/>
                <w:sz w:val="24"/>
                <w:szCs w:val="24"/>
                <w:lang w:val="ru-RU" w:eastAsia="ru-RU"/>
              </w:rPr>
              <w:t xml:space="preserve"> </w:t>
            </w:r>
            <w:proofErr w:type="spellStart"/>
            <w:r w:rsidR="00D56B00">
              <w:rPr>
                <w:rFonts w:ascii="Times New Roman" w:hAnsi="Times New Roman" w:cs="Times New Roman"/>
                <w:sz w:val="24"/>
                <w:szCs w:val="24"/>
                <w:lang w:val="ru-RU" w:eastAsia="ru-RU"/>
              </w:rPr>
              <w:t>Додатку</w:t>
            </w:r>
            <w:proofErr w:type="spellEnd"/>
            <w:r w:rsidR="00D56B00">
              <w:rPr>
                <w:rFonts w:ascii="Times New Roman" w:hAnsi="Times New Roman" w:cs="Times New Roman"/>
                <w:sz w:val="24"/>
                <w:szCs w:val="24"/>
                <w:lang w:val="ru-RU" w:eastAsia="ru-RU"/>
              </w:rPr>
              <w:t xml:space="preserve"> 3</w:t>
            </w:r>
          </w:p>
        </w:tc>
      </w:tr>
      <w:tr w:rsidR="00262DCB" w:rsidTr="0086174F">
        <w:trPr>
          <w:trHeight w:val="419"/>
          <w:jc w:val="center"/>
        </w:trPr>
        <w:tc>
          <w:tcPr>
            <w:tcW w:w="821" w:type="dxa"/>
          </w:tcPr>
          <w:p w:rsidR="00262DCB" w:rsidRPr="00A80D70" w:rsidRDefault="00262DCB" w:rsidP="0073038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262DCB" w:rsidRPr="00A80D70" w:rsidRDefault="00262DCB" w:rsidP="0073038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86174F" w:rsidRDefault="00984CFD" w:rsidP="00984CFD">
            <w:pPr>
              <w:widowControl w:val="0"/>
              <w:ind w:hanging="2"/>
              <w:contextualSpacing/>
              <w:jc w:val="both"/>
              <w:rPr>
                <w:rFonts w:ascii="Times New Roman" w:hAnsi="Times New Roman"/>
                <w:b/>
                <w:i/>
                <w:sz w:val="24"/>
                <w:szCs w:val="24"/>
              </w:rPr>
            </w:pPr>
            <w:r>
              <w:rPr>
                <w:rFonts w:ascii="Times New Roman" w:hAnsi="Times New Roman"/>
                <w:b/>
                <w:i/>
                <w:sz w:val="24"/>
                <w:szCs w:val="24"/>
              </w:rPr>
              <w:t>1 438 150,00</w:t>
            </w:r>
            <w:r w:rsidR="0086174F" w:rsidRPr="0086174F">
              <w:rPr>
                <w:rFonts w:ascii="Times New Roman" w:hAnsi="Times New Roman"/>
                <w:b/>
                <w:i/>
                <w:sz w:val="24"/>
                <w:szCs w:val="24"/>
              </w:rPr>
              <w:t xml:space="preserve"> грн. (</w:t>
            </w:r>
            <w:r>
              <w:rPr>
                <w:rFonts w:ascii="Times New Roman" w:hAnsi="Times New Roman"/>
                <w:b/>
                <w:i/>
                <w:sz w:val="24"/>
                <w:szCs w:val="24"/>
              </w:rPr>
              <w:t>один мільйон чотириста тридцять вісім</w:t>
            </w:r>
            <w:r w:rsidR="0086174F" w:rsidRPr="0086174F">
              <w:rPr>
                <w:rFonts w:ascii="Times New Roman" w:hAnsi="Times New Roman"/>
                <w:b/>
                <w:i/>
                <w:sz w:val="24"/>
                <w:szCs w:val="24"/>
              </w:rPr>
              <w:t xml:space="preserve"> тисяч</w:t>
            </w:r>
            <w:r>
              <w:rPr>
                <w:rFonts w:ascii="Times New Roman" w:hAnsi="Times New Roman"/>
                <w:b/>
                <w:i/>
                <w:sz w:val="24"/>
                <w:szCs w:val="24"/>
              </w:rPr>
              <w:t xml:space="preserve"> сто п’ятдесят </w:t>
            </w:r>
            <w:r w:rsidR="0086174F" w:rsidRPr="0086174F">
              <w:rPr>
                <w:rFonts w:ascii="Times New Roman" w:hAnsi="Times New Roman"/>
                <w:b/>
                <w:i/>
                <w:sz w:val="24"/>
                <w:szCs w:val="24"/>
              </w:rPr>
              <w:t xml:space="preserve">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262DCB" w:rsidP="00262DCB">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61344C">
              <w:rPr>
                <w:rFonts w:ascii="Times New Roman" w:eastAsia="Times New Roman" w:hAnsi="Times New Roman" w:cs="Times New Roman"/>
                <w:color w:val="000000"/>
                <w:sz w:val="24"/>
                <w:szCs w:val="24"/>
              </w:rPr>
              <w:t xml:space="preserve">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sidRPr="008B4411">
              <w:rPr>
                <w:color w:val="000000"/>
              </w:rPr>
              <w:t>закупівель</w:t>
            </w:r>
            <w:proofErr w:type="spellEnd"/>
            <w:r w:rsidRPr="008B4411">
              <w:rPr>
                <w:color w:val="000000"/>
              </w:rPr>
              <w:t>.</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CC4717">
            <w:pPr>
              <w:pStyle w:val="10"/>
              <w:numPr>
                <w:ilvl w:val="0"/>
                <w:numId w:val="9"/>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CC4717">
            <w:pPr>
              <w:pStyle w:val="10"/>
              <w:numPr>
                <w:ilvl w:val="0"/>
                <w:numId w:val="9"/>
              </w:numPr>
              <w:jc w:val="both"/>
            </w:pPr>
            <w:r w:rsidRPr="008B4411">
              <w:t xml:space="preserve">керівник (посада, прізвище, </w:t>
            </w:r>
            <w:proofErr w:type="spellStart"/>
            <w:r w:rsidRPr="008B4411">
              <w:t>ім</w:t>
            </w:r>
            <w:proofErr w:type="spellEnd"/>
            <w:r w:rsidRPr="008B4411">
              <w:rPr>
                <w:lang w:val="ru-RU"/>
              </w:rPr>
              <w:t>’</w:t>
            </w:r>
            <w:r w:rsidRPr="008B4411">
              <w:t>я, по-батькові)</w:t>
            </w:r>
            <w:r w:rsidRPr="008B4411">
              <w:rPr>
                <w:lang w:val="ru-RU"/>
              </w:rPr>
              <w:t>;</w:t>
            </w:r>
          </w:p>
          <w:p w:rsidR="00CC4717" w:rsidRPr="00CC4717" w:rsidRDefault="00262DCB" w:rsidP="00CC4717">
            <w:pPr>
              <w:pStyle w:val="10"/>
              <w:numPr>
                <w:ilvl w:val="0"/>
                <w:numId w:val="9"/>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CC4717">
              <w:rPr>
                <w:lang w:val="ru-RU"/>
              </w:rPr>
              <w:t>;</w:t>
            </w:r>
          </w:p>
          <w:p w:rsidR="00CC4717" w:rsidRPr="00CC4717" w:rsidRDefault="00CC4717" w:rsidP="00CC4717">
            <w:pPr>
              <w:pStyle w:val="10"/>
              <w:numPr>
                <w:ilvl w:val="0"/>
                <w:numId w:val="9"/>
              </w:numPr>
              <w:jc w:val="both"/>
            </w:pPr>
            <w:proofErr w:type="spellStart"/>
            <w:r>
              <w:rPr>
                <w:lang w:val="ru-RU"/>
              </w:rPr>
              <w:t>інформація</w:t>
            </w:r>
            <w:proofErr w:type="spellEnd"/>
            <w:r>
              <w:rPr>
                <w:lang w:val="ru-RU"/>
              </w:rPr>
              <w:t xml:space="preserve"> про систему </w:t>
            </w:r>
            <w:proofErr w:type="spellStart"/>
            <w:r>
              <w:rPr>
                <w:lang w:val="ru-RU"/>
              </w:rPr>
              <w:t>оподаткування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платник</w:t>
            </w:r>
            <w:proofErr w:type="spellEnd"/>
            <w:r>
              <w:rPr>
                <w:lang w:val="ru-RU"/>
              </w:rPr>
              <w:t xml:space="preserve"> </w:t>
            </w:r>
            <w:proofErr w:type="spellStart"/>
            <w:r>
              <w:rPr>
                <w:lang w:val="ru-RU"/>
              </w:rPr>
              <w:t>податку</w:t>
            </w:r>
            <w:proofErr w:type="spellEnd"/>
            <w:r>
              <w:rPr>
                <w:lang w:val="ru-RU"/>
              </w:rPr>
              <w:t xml:space="preserve"> на </w:t>
            </w:r>
            <w:proofErr w:type="spellStart"/>
            <w:r>
              <w:rPr>
                <w:lang w:val="ru-RU"/>
              </w:rPr>
              <w:t>прибутокна</w:t>
            </w:r>
            <w:proofErr w:type="spellEnd"/>
            <w:r>
              <w:rPr>
                <w:lang w:val="ru-RU"/>
              </w:rPr>
              <w:t xml:space="preserve"> </w:t>
            </w:r>
            <w:proofErr w:type="spellStart"/>
            <w:r>
              <w:rPr>
                <w:lang w:val="ru-RU"/>
              </w:rPr>
              <w:t>загальних</w:t>
            </w:r>
            <w:proofErr w:type="spellEnd"/>
            <w:r>
              <w:rPr>
                <w:lang w:val="ru-RU"/>
              </w:rPr>
              <w:t xml:space="preserve"> </w:t>
            </w:r>
            <w:proofErr w:type="spellStart"/>
            <w:proofErr w:type="gramStart"/>
            <w:r>
              <w:rPr>
                <w:lang w:val="ru-RU"/>
              </w:rPr>
              <w:t>п</w:t>
            </w:r>
            <w:proofErr w:type="gramEnd"/>
            <w:r>
              <w:rPr>
                <w:lang w:val="ru-RU"/>
              </w:rPr>
              <w:t>ідставах</w:t>
            </w:r>
            <w:proofErr w:type="spellEnd"/>
            <w:r>
              <w:rPr>
                <w:lang w:val="ru-RU"/>
              </w:rPr>
              <w:t>/латник ПДВ/</w:t>
            </w:r>
            <w:proofErr w:type="spellStart"/>
            <w:r>
              <w:rPr>
                <w:lang w:val="ru-RU"/>
              </w:rPr>
              <w:t>платник</w:t>
            </w:r>
            <w:proofErr w:type="spellEnd"/>
            <w:r>
              <w:rPr>
                <w:lang w:val="ru-RU"/>
              </w:rPr>
              <w:t xml:space="preserve"> </w:t>
            </w:r>
            <w:proofErr w:type="spellStart"/>
            <w:r>
              <w:rPr>
                <w:lang w:val="ru-RU"/>
              </w:rPr>
              <w:t>єдиного</w:t>
            </w:r>
            <w:proofErr w:type="spellEnd"/>
            <w:r>
              <w:rPr>
                <w:lang w:val="ru-RU"/>
              </w:rPr>
              <w:t xml:space="preserve"> </w:t>
            </w:r>
            <w:proofErr w:type="spellStart"/>
            <w:r>
              <w:rPr>
                <w:lang w:val="ru-RU"/>
              </w:rPr>
              <w:t>податку</w:t>
            </w:r>
            <w:proofErr w:type="spellEnd"/>
            <w:r>
              <w:rPr>
                <w:lang w:val="ru-RU"/>
              </w:rPr>
              <w:t>);</w:t>
            </w:r>
          </w:p>
          <w:p w:rsidR="00CC4717" w:rsidRPr="00CC4717" w:rsidRDefault="00CC4717" w:rsidP="00CC4717">
            <w:pPr>
              <w:pStyle w:val="10"/>
              <w:numPr>
                <w:ilvl w:val="0"/>
                <w:numId w:val="9"/>
              </w:numPr>
              <w:jc w:val="both"/>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субєкт</w:t>
            </w:r>
            <w:proofErr w:type="spellEnd"/>
            <w:r>
              <w:rPr>
                <w:lang w:val="ru-RU"/>
              </w:rPr>
              <w:t xml:space="preserve"> </w:t>
            </w:r>
            <w:proofErr w:type="spellStart"/>
            <w:r>
              <w:rPr>
                <w:lang w:val="ru-RU"/>
              </w:rPr>
              <w:t>мікропідприємства</w:t>
            </w:r>
            <w:proofErr w:type="spellEnd"/>
            <w:r>
              <w:rPr>
                <w:lang w:val="ru-RU"/>
              </w:rPr>
              <w:t xml:space="preserve"> </w:t>
            </w:r>
            <w:proofErr w:type="spellStart"/>
            <w:r>
              <w:rPr>
                <w:lang w:val="ru-RU"/>
              </w:rPr>
              <w:t>або</w:t>
            </w:r>
            <w:proofErr w:type="spellEnd"/>
            <w:r>
              <w:rPr>
                <w:lang w:val="ru-RU"/>
              </w:rPr>
              <w:t xml:space="preserve"> малого/</w:t>
            </w:r>
            <w:proofErr w:type="spellStart"/>
            <w:r>
              <w:rPr>
                <w:lang w:val="ru-RU"/>
              </w:rPr>
              <w:t>середнього</w:t>
            </w:r>
            <w:proofErr w:type="spellEnd"/>
            <w:r>
              <w:rPr>
                <w:lang w:val="ru-RU"/>
              </w:rPr>
              <w:t xml:space="preserve">/великого </w:t>
            </w:r>
            <w:proofErr w:type="spellStart"/>
            <w:proofErr w:type="gramStart"/>
            <w:r>
              <w:rPr>
                <w:lang w:val="ru-RU"/>
              </w:rPr>
              <w:t>п</w:t>
            </w:r>
            <w:proofErr w:type="gramEnd"/>
            <w:r>
              <w:rPr>
                <w:lang w:val="ru-RU"/>
              </w:rPr>
              <w:t>ідприємства</w:t>
            </w:r>
            <w:proofErr w:type="spellEnd"/>
            <w:r>
              <w:rPr>
                <w:lang w:val="ru-RU"/>
              </w:rPr>
              <w:t xml:space="preserve">/ не є </w:t>
            </w:r>
            <w:proofErr w:type="spellStart"/>
            <w:r>
              <w:rPr>
                <w:lang w:val="ru-RU"/>
              </w:rPr>
              <w:t>суб</w:t>
            </w:r>
            <w:r w:rsidRPr="00CC4717">
              <w:rPr>
                <w:lang w:val="ru-RU"/>
              </w:rPr>
              <w:t>’</w:t>
            </w:r>
            <w:r>
              <w:rPr>
                <w:lang w:val="ru-RU"/>
              </w:rPr>
              <w:t>єктом</w:t>
            </w:r>
            <w:proofErr w:type="spellEnd"/>
            <w:r>
              <w:rPr>
                <w:lang w:val="ru-RU"/>
              </w:rPr>
              <w:t xml:space="preserve"> </w:t>
            </w:r>
            <w:proofErr w:type="spellStart"/>
            <w:r>
              <w:rPr>
                <w:lang w:val="ru-RU"/>
              </w:rPr>
              <w:t>підприємства</w:t>
            </w:r>
            <w:proofErr w:type="spellEnd"/>
            <w:r w:rsidRPr="00CC4717">
              <w:rPr>
                <w:lang w:val="ru-RU"/>
              </w:rPr>
              <w:t>)</w:t>
            </w:r>
            <w:r w:rsidR="00C90338">
              <w:rPr>
                <w:lang w:val="ru-RU"/>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7760D7">
              <w:rPr>
                <w:rFonts w:ascii="Times New Roman" w:eastAsia="Times New Roman" w:hAnsi="Times New Roman" w:cs="Times New Roman"/>
                <w:sz w:val="24"/>
                <w:szCs w:val="24"/>
              </w:rPr>
              <w:lastRenderedPageBreak/>
              <w:t xml:space="preserve">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w:t>
            </w:r>
            <w:proofErr w:type="spellStart"/>
            <w:r w:rsidRPr="007760D7">
              <w:rPr>
                <w:rFonts w:ascii="Times New Roman" w:eastAsia="Times New Roman" w:hAnsi="Times New Roman" w:cs="Times New Roman"/>
                <w:color w:val="000000"/>
                <w:sz w:val="24"/>
                <w:szCs w:val="24"/>
              </w:rPr>
              <w:t>ненакладення</w:t>
            </w:r>
            <w:proofErr w:type="spellEnd"/>
            <w:r w:rsidRPr="007760D7">
              <w:rPr>
                <w:rFonts w:ascii="Times New Roman" w:eastAsia="Times New Roman" w:hAnsi="Times New Roman" w:cs="Times New Roman"/>
                <w:color w:val="000000"/>
                <w:sz w:val="24"/>
                <w:szCs w:val="24"/>
              </w:rPr>
              <w:t xml:space="preserve">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При цьому зазначений у тексті банківської гарантії підписант має співпадати з підписантом, який наклав КЕП.</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У тексті (або колонтитулах) банківської гарантії МОЖЕ бути вказано посилання на програмний комплекс, яким накладено КЕП.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Відповідно до частини 1 статті 547 Цивільного кодексу України (далі – ЦКУ)  правочин щодо забезпечення </w:t>
            </w:r>
            <w:r w:rsidRPr="00B26C7B">
              <w:rPr>
                <w:color w:val="000000"/>
              </w:rPr>
              <w:lastRenderedPageBreak/>
              <w:t xml:space="preserve">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B26C7B">
              <w:rPr>
                <w:color w:val="000000"/>
              </w:rPr>
              <w:t>зафiксований</w:t>
            </w:r>
            <w:proofErr w:type="spellEnd"/>
            <w:r w:rsidRPr="00B26C7B">
              <w:rPr>
                <w:color w:val="000000"/>
              </w:rPr>
              <w:t xml:space="preserve">, зокрема в одному або </w:t>
            </w:r>
            <w:proofErr w:type="spellStart"/>
            <w:r w:rsidRPr="00B26C7B">
              <w:rPr>
                <w:color w:val="000000"/>
              </w:rPr>
              <w:t>кiлькох</w:t>
            </w:r>
            <w:proofErr w:type="spellEnd"/>
            <w:r w:rsidRPr="00B26C7B">
              <w:rPr>
                <w:color w:val="000000"/>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262DCB" w:rsidRPr="00B26C7B" w:rsidRDefault="00262DCB" w:rsidP="000C40BA">
            <w:pPr>
              <w:pStyle w:val="a9"/>
              <w:spacing w:before="0" w:beforeAutospacing="0" w:after="0" w:afterAutospacing="0" w:line="0" w:lineRule="atLeast"/>
              <w:jc w:val="both"/>
              <w:rPr>
                <w:b/>
              </w:rPr>
            </w:pPr>
            <w:r w:rsidRPr="00A21095">
              <w:rPr>
                <w:b/>
                <w:color w:val="000000"/>
              </w:rPr>
              <w:t xml:space="preserve">Розмір забезпечення тендерної пропозиції становить </w:t>
            </w:r>
            <w:r w:rsidR="00A21095" w:rsidRPr="00A21095">
              <w:rPr>
                <w:b/>
                <w:color w:val="000000"/>
              </w:rPr>
              <w:t>1,5</w:t>
            </w:r>
            <w:r w:rsidRPr="00A21095">
              <w:rPr>
                <w:b/>
                <w:bCs/>
              </w:rPr>
              <w:t>%</w:t>
            </w:r>
            <w:r w:rsidRPr="00A21095">
              <w:rPr>
                <w:b/>
              </w:rPr>
              <w:t xml:space="preserve">  від очікуваної вартості закупівлі </w:t>
            </w:r>
            <w:r w:rsidR="002A3579" w:rsidRPr="00A21095">
              <w:rPr>
                <w:b/>
                <w:bCs/>
              </w:rPr>
              <w:t xml:space="preserve"> (</w:t>
            </w:r>
            <w:r w:rsidR="00984CFD">
              <w:rPr>
                <w:b/>
                <w:bCs/>
              </w:rPr>
              <w:t>21 572,25</w:t>
            </w:r>
            <w:r w:rsidRPr="00A21095">
              <w:rPr>
                <w:b/>
                <w:bCs/>
              </w:rPr>
              <w:t xml:space="preserve"> грн).</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Строк дії забезпечення  тендерної пропозиції учасника (банківської гарантії) має дорівнювати або перевищувати </w:t>
            </w:r>
            <w:r w:rsidR="00116A7D">
              <w:rPr>
                <w:color w:val="000000"/>
              </w:rPr>
              <w:t>90</w:t>
            </w:r>
            <w:r w:rsidRPr="00B26C7B">
              <w:rPr>
                <w:color w:val="000000"/>
              </w:rPr>
              <w:t xml:space="preserve"> (</w:t>
            </w:r>
            <w:r w:rsidR="00116A7D">
              <w:rPr>
                <w:color w:val="000000"/>
              </w:rPr>
              <w:t>дев’яносто</w:t>
            </w:r>
            <w:r w:rsidRPr="00B26C7B">
              <w:rPr>
                <w:color w:val="000000"/>
              </w:rPr>
              <w:t>) днів із дати кінцевого строку подання тендерних пропозицій включно.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Пропозиції, що не супроводжуються забезпеченням тендерної пропозиції, відхиляються Замовником  відповідно до статті 31 Закону.</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Усі витрати, пов'язані з наданням забезпечення тендерної пропозиції, здійснюються за рахунок коштів Учасника.</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Замовник має право звернутися з відповідним запитом до </w:t>
            </w:r>
            <w:r w:rsidRPr="00B26C7B">
              <w:rPr>
                <w:color w:val="000000"/>
              </w:rPr>
              <w:lastRenderedPageBreak/>
              <w:t>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 уваги учасників інформація для оформлення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Назва Замовника: Управління освіти і науки Бориспільської міської ради.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Місцезнаходження Замовника: 08302, Україна, Київська область, місто Бориспіль, вулиця Київський Шлях, 35.</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Код ЄДРПОУ:05408355</w:t>
            </w:r>
          </w:p>
          <w:p w:rsidR="00262DCB" w:rsidRPr="002C4F18" w:rsidRDefault="00262DCB" w:rsidP="000C40BA">
            <w:pPr>
              <w:pStyle w:val="a9"/>
              <w:spacing w:before="0" w:beforeAutospacing="0" w:after="0" w:afterAutospacing="0" w:line="0" w:lineRule="atLeast"/>
              <w:jc w:val="both"/>
            </w:pPr>
            <w:r w:rsidRPr="00B26C7B">
              <w:rPr>
                <w:color w:val="000000"/>
              </w:rPr>
              <w:t xml:space="preserve">р/р UA </w:t>
            </w:r>
            <w:r w:rsidRPr="002C4F18">
              <w:t xml:space="preserve">988201720355159030082025303  </w:t>
            </w:r>
          </w:p>
          <w:p w:rsidR="00262DCB" w:rsidRPr="00072E03" w:rsidRDefault="00262DCB" w:rsidP="000C40BA">
            <w:pPr>
              <w:pStyle w:val="a9"/>
              <w:spacing w:before="0" w:beforeAutospacing="0" w:after="0" w:afterAutospacing="0" w:line="0" w:lineRule="atLeast"/>
              <w:jc w:val="both"/>
              <w:rPr>
                <w:highlight w:val="yellow"/>
              </w:rPr>
            </w:pPr>
            <w:r w:rsidRPr="00B26C7B">
              <w:rPr>
                <w:color w:val="000000"/>
              </w:rPr>
              <w:t>в Державній  казначейській службі України</w:t>
            </w:r>
          </w:p>
        </w:tc>
      </w:tr>
      <w:tr w:rsidR="00262DCB" w:rsidTr="002C4F18">
        <w:trPr>
          <w:trHeight w:val="274"/>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262DCB" w:rsidRPr="00B26C7B" w:rsidRDefault="00262DCB" w:rsidP="00072E03">
            <w:pPr>
              <w:keepNext/>
              <w:suppressAutoHyphens/>
              <w:spacing w:line="0" w:lineRule="atLeast"/>
              <w:ind w:left="39" w:hanging="7"/>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5" w:name="n1456"/>
            <w:bookmarkEnd w:id="5"/>
            <w:r w:rsidRPr="00B26C7B">
              <w:rPr>
                <w:rFonts w:ascii="Times New Roman" w:eastAsia="Times New Roman" w:hAnsi="Times New Roman" w:cs="Times New Roman"/>
                <w:sz w:val="24"/>
                <w:szCs w:val="24"/>
                <w:lang w:val="ru-RU"/>
              </w:rPr>
              <w:t xml:space="preserve">2) </w:t>
            </w:r>
            <w:proofErr w:type="spellStart"/>
            <w:r w:rsidRPr="00B26C7B">
              <w:rPr>
                <w:rFonts w:ascii="Times New Roman" w:eastAsia="Times New Roman" w:hAnsi="Times New Roman" w:cs="Times New Roman"/>
                <w:sz w:val="24"/>
                <w:szCs w:val="24"/>
                <w:lang w:val="ru-RU"/>
              </w:rPr>
              <w:t>укладення</w:t>
            </w:r>
            <w:proofErr w:type="spellEnd"/>
            <w:r w:rsidRPr="00B26C7B">
              <w:rPr>
                <w:rFonts w:ascii="Times New Roman" w:eastAsia="Times New Roman" w:hAnsi="Times New Roman" w:cs="Times New Roman"/>
                <w:sz w:val="24"/>
                <w:szCs w:val="24"/>
                <w:lang w:val="ru-RU"/>
              </w:rPr>
              <w:t xml:space="preserve"> договору про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учасником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який</w:t>
            </w:r>
            <w:proofErr w:type="spellEnd"/>
            <w:r w:rsidRPr="00B26C7B">
              <w:rPr>
                <w:rFonts w:ascii="Times New Roman" w:eastAsia="Times New Roman" w:hAnsi="Times New Roman" w:cs="Times New Roman"/>
                <w:sz w:val="24"/>
                <w:szCs w:val="24"/>
                <w:lang w:val="ru-RU"/>
              </w:rPr>
              <w:t xml:space="preserve"> став </w:t>
            </w:r>
            <w:proofErr w:type="spellStart"/>
            <w:r w:rsidRPr="00B26C7B">
              <w:rPr>
                <w:rFonts w:ascii="Times New Roman" w:eastAsia="Times New Roman" w:hAnsi="Times New Roman" w:cs="Times New Roman"/>
                <w:sz w:val="24"/>
                <w:szCs w:val="24"/>
                <w:lang w:val="ru-RU"/>
              </w:rPr>
              <w:t>переможцем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процедури</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w:t>
            </w:r>
            <w:proofErr w:type="gramStart"/>
            <w:r w:rsidRPr="00B26C7B">
              <w:rPr>
                <w:rFonts w:ascii="Times New Roman" w:eastAsia="Times New Roman" w:hAnsi="Times New Roman" w:cs="Times New Roman"/>
                <w:sz w:val="24"/>
                <w:szCs w:val="24"/>
                <w:lang w:val="ru-RU"/>
              </w:rPr>
              <w:t>вл</w:t>
            </w:r>
            <w:proofErr w:type="gramEnd"/>
            <w:r w:rsidRPr="00B26C7B">
              <w:rPr>
                <w:rFonts w:ascii="Times New Roman" w:eastAsia="Times New Roman" w:hAnsi="Times New Roman" w:cs="Times New Roman"/>
                <w:sz w:val="24"/>
                <w:szCs w:val="24"/>
                <w:lang w:val="ru-RU"/>
              </w:rPr>
              <w:t>і</w:t>
            </w:r>
            <w:proofErr w:type="spellEnd"/>
            <w:r w:rsidRPr="00B26C7B">
              <w:rPr>
                <w:rFonts w:ascii="Times New Roman" w:eastAsia="Times New Roman" w:hAnsi="Times New Roman" w:cs="Times New Roman"/>
                <w:sz w:val="24"/>
                <w:szCs w:val="24"/>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6" w:name="n1457"/>
            <w:bookmarkEnd w:id="6"/>
            <w:r w:rsidRPr="00B26C7B">
              <w:rPr>
                <w:rFonts w:ascii="Times New Roman" w:eastAsia="Times New Roman" w:hAnsi="Times New Roman" w:cs="Times New Roman"/>
                <w:sz w:val="24"/>
                <w:szCs w:val="24"/>
                <w:lang w:val="ru-RU"/>
              </w:rPr>
              <w:t xml:space="preserve">3) </w:t>
            </w:r>
            <w:proofErr w:type="spellStart"/>
            <w:r w:rsidRPr="00B26C7B">
              <w:rPr>
                <w:rFonts w:ascii="Times New Roman" w:eastAsia="Times New Roman" w:hAnsi="Times New Roman" w:cs="Times New Roman"/>
                <w:sz w:val="24"/>
                <w:szCs w:val="24"/>
                <w:lang w:val="ru-RU"/>
              </w:rPr>
              <w:t>відкликання</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тендерної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rPr>
              <w:t xml:space="preserve"> </w:t>
            </w:r>
            <w:r w:rsidRPr="00B26C7B">
              <w:rPr>
                <w:rFonts w:ascii="Times New Roman" w:eastAsia="Times New Roman" w:hAnsi="Times New Roman" w:cs="Times New Roman"/>
                <w:sz w:val="24"/>
                <w:szCs w:val="24"/>
                <w:lang w:val="ru-RU"/>
              </w:rPr>
              <w:t xml:space="preserve">до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строку </w:t>
            </w:r>
            <w:proofErr w:type="spellStart"/>
            <w:r w:rsidRPr="00B26C7B">
              <w:rPr>
                <w:rFonts w:ascii="Times New Roman" w:eastAsia="Times New Roman" w:hAnsi="Times New Roman" w:cs="Times New Roman"/>
                <w:sz w:val="24"/>
                <w:szCs w:val="24"/>
                <w:lang w:val="ru-RU"/>
              </w:rPr>
              <w:t>її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подання</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7" w:name="n1458"/>
            <w:bookmarkEnd w:id="7"/>
            <w:r w:rsidRPr="00B26C7B">
              <w:rPr>
                <w:rFonts w:ascii="Times New Roman" w:eastAsia="Times New Roman" w:hAnsi="Times New Roman" w:cs="Times New Roman"/>
                <w:sz w:val="24"/>
                <w:szCs w:val="24"/>
                <w:lang w:val="ru-RU"/>
              </w:rPr>
              <w:t xml:space="preserve">4)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тендеру в </w:t>
            </w:r>
            <w:proofErr w:type="spellStart"/>
            <w:r w:rsidRPr="00B26C7B">
              <w:rPr>
                <w:rFonts w:ascii="Times New Roman" w:eastAsia="Times New Roman" w:hAnsi="Times New Roman" w:cs="Times New Roman"/>
                <w:sz w:val="24"/>
                <w:szCs w:val="24"/>
                <w:lang w:val="ru-RU"/>
              </w:rPr>
              <w:t>разі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неукладення</w:t>
            </w:r>
            <w:proofErr w:type="spellEnd"/>
            <w:r w:rsidRPr="00B26C7B">
              <w:rPr>
                <w:rFonts w:ascii="Times New Roman" w:eastAsia="Times New Roman" w:hAnsi="Times New Roman" w:cs="Times New Roman"/>
                <w:sz w:val="24"/>
                <w:szCs w:val="24"/>
                <w:lang w:val="ru-RU"/>
              </w:rPr>
              <w:t xml:space="preserve"> договору </w:t>
            </w:r>
            <w:proofErr w:type="gramStart"/>
            <w:r w:rsidRPr="00B26C7B">
              <w:rPr>
                <w:rFonts w:ascii="Times New Roman" w:eastAsia="Times New Roman" w:hAnsi="Times New Roman" w:cs="Times New Roman"/>
                <w:sz w:val="24"/>
                <w:szCs w:val="24"/>
                <w:lang w:val="ru-RU"/>
              </w:rPr>
              <w:t>про</w:t>
            </w:r>
            <w:proofErr w:type="gram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жодним</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учасників</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які</w:t>
            </w:r>
            <w:proofErr w:type="spellEnd"/>
            <w:r w:rsidRPr="00B26C7B">
              <w:rPr>
                <w:rFonts w:ascii="Times New Roman" w:eastAsia="Times New Roman" w:hAnsi="Times New Roman" w:cs="Times New Roman"/>
                <w:sz w:val="24"/>
                <w:szCs w:val="24"/>
                <w:lang w:val="ru-RU"/>
              </w:rPr>
              <w:t xml:space="preserve"> подали </w:t>
            </w:r>
            <w:proofErr w:type="spellStart"/>
            <w:r w:rsidRPr="00B26C7B">
              <w:rPr>
                <w:rFonts w:ascii="Times New Roman" w:eastAsia="Times New Roman" w:hAnsi="Times New Roman" w:cs="Times New Roman"/>
                <w:sz w:val="24"/>
                <w:szCs w:val="24"/>
                <w:lang w:val="ru-RU"/>
              </w:rPr>
              <w:t>тендерні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keepNext/>
              <w:suppressAutoHyphens/>
              <w:spacing w:line="0" w:lineRule="atLeast"/>
              <w:ind w:left="39" w:hanging="39"/>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3.2. Забезпечення тендерної пропозиції не повертається учаснику у разі:</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r w:rsidRPr="00B26C7B">
              <w:rPr>
                <w:rFonts w:ascii="Times New Roman" w:eastAsia="Times New Roman" w:hAnsi="Times New Roman" w:cs="Times New Roman"/>
                <w:color w:val="333333"/>
                <w:sz w:val="24"/>
                <w:szCs w:val="24"/>
              </w:rPr>
              <w:t>1</w:t>
            </w:r>
            <w:r w:rsidRPr="00B26C7B">
              <w:rPr>
                <w:rFonts w:ascii="Times New Roman" w:eastAsia="Times New Roman" w:hAnsi="Times New Roman" w:cs="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8" w:name="n1451"/>
            <w:bookmarkEnd w:id="8"/>
            <w:r w:rsidRPr="00B26C7B">
              <w:rPr>
                <w:rFonts w:ascii="Times New Roman" w:eastAsia="Times New Roman" w:hAnsi="Times New Roman" w:cs="Times New Roman"/>
                <w:sz w:val="24"/>
                <w:szCs w:val="24"/>
              </w:rPr>
              <w:t xml:space="preserve">2) </w:t>
            </w:r>
            <w:proofErr w:type="spellStart"/>
            <w:r w:rsidRPr="00B26C7B">
              <w:rPr>
                <w:rFonts w:ascii="Times New Roman" w:eastAsia="Times New Roman" w:hAnsi="Times New Roman" w:cs="Times New Roman"/>
                <w:sz w:val="24"/>
                <w:szCs w:val="24"/>
              </w:rPr>
              <w:t>непідписання</w:t>
            </w:r>
            <w:proofErr w:type="spellEnd"/>
            <w:r w:rsidRPr="00B26C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9" w:name="n1452"/>
            <w:bookmarkEnd w:id="9"/>
            <w:r w:rsidRPr="00B26C7B">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9" w:anchor="n1282" w:history="1">
              <w:r w:rsidRPr="00B26C7B">
                <w:rPr>
                  <w:rFonts w:ascii="Times New Roman" w:eastAsia="Times New Roman" w:hAnsi="Times New Roman" w:cs="Times New Roman"/>
                  <w:sz w:val="24"/>
                  <w:szCs w:val="24"/>
                  <w:u w:val="single"/>
                </w:rPr>
                <w:t>частиною шостою</w:t>
              </w:r>
            </w:hyperlink>
            <w:r w:rsidRPr="00B26C7B">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B26C7B">
                <w:rPr>
                  <w:rFonts w:ascii="Times New Roman" w:eastAsia="Times New Roman" w:hAnsi="Times New Roman" w:cs="Times New Roman"/>
                  <w:sz w:val="24"/>
                  <w:szCs w:val="24"/>
                  <w:u w:val="single"/>
                </w:rPr>
                <w:t>статтею 17</w:t>
              </w:r>
            </w:hyperlink>
            <w:r w:rsidRPr="00B26C7B">
              <w:rPr>
                <w:rFonts w:ascii="Times New Roman" w:eastAsia="Times New Roman" w:hAnsi="Times New Roman" w:cs="Times New Roman"/>
                <w:sz w:val="24"/>
                <w:szCs w:val="24"/>
              </w:rPr>
              <w:t> цього Закону;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0" w:name="n1453"/>
            <w:bookmarkEnd w:id="10"/>
            <w:r w:rsidRPr="00B26C7B">
              <w:rPr>
                <w:rFonts w:ascii="Times New Roman" w:eastAsia="Times New Roman" w:hAnsi="Times New Roman" w:cs="Times New Roman"/>
                <w:sz w:val="24"/>
                <w:szCs w:val="24"/>
              </w:rPr>
              <w:t xml:space="preserve">4) ненадання переможцем процедури закупівлі  </w:t>
            </w:r>
            <w:proofErr w:type="spellStart"/>
            <w:r w:rsidRPr="00B26C7B">
              <w:rPr>
                <w:rFonts w:ascii="Times New Roman" w:eastAsia="Times New Roman" w:hAnsi="Times New Roman" w:cs="Times New Roman"/>
                <w:sz w:val="24"/>
                <w:szCs w:val="24"/>
              </w:rPr>
              <w:t>закупівлі</w:t>
            </w:r>
            <w:proofErr w:type="spellEnd"/>
            <w:r w:rsidRPr="00B26C7B">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62DCB" w:rsidRPr="00B26C7B" w:rsidRDefault="00262DCB" w:rsidP="00072E03">
            <w:pPr>
              <w:pStyle w:val="a9"/>
              <w:spacing w:before="0" w:beforeAutospacing="0" w:after="0" w:afterAutospacing="0" w:line="0" w:lineRule="atLeast"/>
              <w:ind w:left="39"/>
              <w:jc w:val="both"/>
            </w:pPr>
            <w:r w:rsidRPr="00B26C7B">
              <w:rPr>
                <w:shd w:val="clear" w:color="auto" w:fill="FFFFFF"/>
                <w:lang w:val="ru-RU" w:eastAsia="en-US"/>
              </w:rPr>
              <w:t xml:space="preserve">3.3.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w:t>
            </w:r>
            <w:proofErr w:type="spellStart"/>
            <w:r w:rsidRPr="00B26C7B">
              <w:rPr>
                <w:shd w:val="clear" w:color="auto" w:fill="FFFFFF"/>
                <w:lang w:val="ru-RU" w:eastAsia="en-US"/>
              </w:rPr>
              <w:t>що</w:t>
            </w:r>
            <w:proofErr w:type="spellEnd"/>
            <w:r w:rsidRPr="00B26C7B">
              <w:rPr>
                <w:shd w:val="clear" w:color="auto" w:fill="FFFFFF"/>
                <w:lang w:val="ru-RU" w:eastAsia="en-US"/>
              </w:rPr>
              <w:t xml:space="preserve"> </w:t>
            </w:r>
            <w:proofErr w:type="spellStart"/>
            <w:r w:rsidRPr="00B26C7B">
              <w:rPr>
                <w:shd w:val="clear" w:color="auto" w:fill="FFFFFF"/>
                <w:lang w:val="ru-RU" w:eastAsia="en-US"/>
              </w:rPr>
              <w:t>надійшли</w:t>
            </w:r>
            <w:proofErr w:type="spellEnd"/>
            <w:r w:rsidRPr="00B26C7B">
              <w:rPr>
                <w:shd w:val="clear" w:color="auto" w:fill="FFFFFF"/>
                <w:lang w:val="ru-RU" w:eastAsia="en-US"/>
              </w:rPr>
              <w:t xml:space="preserve"> як </w:t>
            </w:r>
            <w:proofErr w:type="spellStart"/>
            <w:r w:rsidRPr="00B26C7B">
              <w:rPr>
                <w:shd w:val="clear" w:color="auto" w:fill="FFFFFF"/>
                <w:lang w:val="ru-RU" w:eastAsia="en-US"/>
              </w:rPr>
              <w:t>забезпечення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тендерної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пропозиції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якщо</w:t>
            </w:r>
            <w:proofErr w:type="spellEnd"/>
            <w:r w:rsidRPr="00B26C7B">
              <w:rPr>
                <w:shd w:val="clear" w:color="auto" w:fill="FFFFFF"/>
                <w:lang w:val="ru-RU" w:eastAsia="en-US"/>
              </w:rPr>
              <w:t xml:space="preserve"> вони не </w:t>
            </w:r>
            <w:proofErr w:type="spellStart"/>
            <w:r w:rsidRPr="00B26C7B">
              <w:rPr>
                <w:shd w:val="clear" w:color="auto" w:fill="FFFFFF"/>
                <w:lang w:val="ru-RU" w:eastAsia="en-US"/>
              </w:rPr>
              <w:t>повертаються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учаснику</w:t>
            </w:r>
            <w:proofErr w:type="spellEnd"/>
            <w:r w:rsidRPr="00B26C7B">
              <w:rPr>
                <w:shd w:val="clear" w:color="auto" w:fill="FFFFFF"/>
                <w:lang w:val="ru-RU" w:eastAsia="en-US"/>
              </w:rPr>
              <w:t xml:space="preserve"> у </w:t>
            </w:r>
            <w:proofErr w:type="spellStart"/>
            <w:r w:rsidRPr="00B26C7B">
              <w:rPr>
                <w:shd w:val="clear" w:color="auto" w:fill="FFFFFF"/>
                <w:lang w:val="ru-RU" w:eastAsia="en-US"/>
              </w:rPr>
              <w:t>випадках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визначених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цим</w:t>
            </w:r>
            <w:proofErr w:type="spellEnd"/>
            <w:r w:rsidRPr="00B26C7B">
              <w:rPr>
                <w:shd w:val="clear" w:color="auto" w:fill="FFFFFF"/>
                <w:lang w:val="ru-RU" w:eastAsia="en-US"/>
              </w:rPr>
              <w:t xml:space="preserve"> Законом, </w:t>
            </w:r>
            <w:proofErr w:type="spellStart"/>
            <w:proofErr w:type="gramStart"/>
            <w:r w:rsidRPr="00B26C7B">
              <w:rPr>
                <w:shd w:val="clear" w:color="auto" w:fill="FFFFFF"/>
                <w:lang w:val="ru-RU" w:eastAsia="en-US"/>
              </w:rPr>
              <w:t>п</w:t>
            </w:r>
            <w:proofErr w:type="gramEnd"/>
            <w:r w:rsidRPr="00B26C7B">
              <w:rPr>
                <w:shd w:val="clear" w:color="auto" w:fill="FFFFFF"/>
                <w:lang w:val="ru-RU" w:eastAsia="en-US"/>
              </w:rPr>
              <w:t>ідлягають</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перерахуванню</w:t>
            </w:r>
            <w:proofErr w:type="spellEnd"/>
            <w:r w:rsidRPr="00B26C7B">
              <w:rPr>
                <w:shd w:val="clear" w:color="auto" w:fill="FFFFFF"/>
                <w:lang w:val="ru-RU" w:eastAsia="en-US"/>
              </w:rPr>
              <w:t xml:space="preserve"> до </w:t>
            </w:r>
            <w:proofErr w:type="spellStart"/>
            <w:r w:rsidRPr="00B26C7B">
              <w:rPr>
                <w:shd w:val="clear" w:color="auto" w:fill="FFFFFF"/>
                <w:lang w:val="ru-RU" w:eastAsia="en-US"/>
              </w:rPr>
              <w:t>відповідного</w:t>
            </w:r>
            <w:proofErr w:type="spellEnd"/>
            <w:r w:rsidRPr="00B26C7B">
              <w:rPr>
                <w:shd w:val="clear" w:color="auto" w:fill="FFFFFF"/>
                <w:lang w:val="ru-RU" w:eastAsia="en-US"/>
              </w:rPr>
              <w:t xml:space="preserve"> бюджету, а в </w:t>
            </w:r>
            <w:proofErr w:type="spellStart"/>
            <w:r w:rsidRPr="00B26C7B">
              <w:rPr>
                <w:shd w:val="clear" w:color="auto" w:fill="FFFFFF"/>
                <w:lang w:val="ru-RU" w:eastAsia="en-US"/>
              </w:rPr>
              <w:t>разі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здійснення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закупівлі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замовниками</w:t>
            </w:r>
            <w:proofErr w:type="spellEnd"/>
            <w:r w:rsidRPr="00B26C7B">
              <w:rPr>
                <w:shd w:val="clear" w:color="auto" w:fill="FFFFFF"/>
                <w:lang w:val="ru-RU" w:eastAsia="en-US"/>
              </w:rPr>
              <w:t xml:space="preserve"> не за </w:t>
            </w:r>
            <w:proofErr w:type="spellStart"/>
            <w:r w:rsidRPr="00B26C7B">
              <w:rPr>
                <w:shd w:val="clear" w:color="auto" w:fill="FFFFFF"/>
                <w:lang w:val="ru-RU" w:eastAsia="en-US"/>
              </w:rPr>
              <w:t>бюджетні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 </w:t>
            </w:r>
            <w:proofErr w:type="spellStart"/>
            <w:r w:rsidRPr="00B26C7B">
              <w:rPr>
                <w:shd w:val="clear" w:color="auto" w:fill="FFFFFF"/>
                <w:lang w:val="ru-RU" w:eastAsia="en-US"/>
              </w:rPr>
              <w:t>перераховуються</w:t>
            </w:r>
            <w:proofErr w:type="spellEnd"/>
            <w:r w:rsidRPr="00B26C7B">
              <w:rPr>
                <w:shd w:val="clear" w:color="auto" w:fill="FFFFFF"/>
                <w:lang w:val="ru-RU" w:eastAsia="en-US"/>
              </w:rPr>
              <w:t xml:space="preserve"> на </w:t>
            </w:r>
            <w:proofErr w:type="spellStart"/>
            <w:r w:rsidRPr="00B26C7B">
              <w:rPr>
                <w:shd w:val="clear" w:color="auto" w:fill="FFFFFF"/>
                <w:lang w:val="ru-RU" w:eastAsia="en-US"/>
              </w:rPr>
              <w:lastRenderedPageBreak/>
              <w:t>рахунок</w:t>
            </w:r>
            <w:proofErr w:type="spellEnd"/>
            <w:r w:rsidRPr="00B26C7B">
              <w:rPr>
                <w:shd w:val="clear" w:color="auto" w:fill="FFFFFF"/>
                <w:lang w:val="ru-RU" w:eastAsia="en-US"/>
              </w:rPr>
              <w:t xml:space="preserve"> таких </w:t>
            </w:r>
            <w:proofErr w:type="spellStart"/>
            <w:r w:rsidRPr="00B26C7B">
              <w:rPr>
                <w:shd w:val="clear" w:color="auto" w:fill="FFFFFF"/>
                <w:lang w:val="ru-RU" w:eastAsia="en-US"/>
              </w:rPr>
              <w:t>замовників</w:t>
            </w:r>
            <w:proofErr w:type="spellEnd"/>
            <w:r w:rsidRPr="00B26C7B">
              <w:rPr>
                <w:shd w:val="clear" w:color="auto" w:fill="FFFFFF"/>
                <w:lang w:val="ru-RU" w:eastAsia="en-US"/>
              </w:rPr>
              <w:t>.</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33EAE">
              <w:rPr>
                <w:rFonts w:ascii="Times New Roman" w:eastAsia="Times New Roman" w:hAnsi="Times New Roman" w:cs="Times New Roman"/>
                <w:sz w:val="24"/>
                <w:szCs w:val="24"/>
              </w:rPr>
              <w:t xml:space="preserve"> </w:t>
            </w:r>
            <w:r w:rsidR="00633EAE" w:rsidRPr="002A3579">
              <w:rPr>
                <w:rFonts w:ascii="Times New Roman" w:eastAsia="Times New Roman" w:hAnsi="Times New Roman" w:cs="Times New Roman"/>
                <w:sz w:val="24"/>
                <w:szCs w:val="24"/>
              </w:rPr>
              <w:t>(надати гарантійний лист)</w:t>
            </w:r>
            <w:r w:rsidR="002C4F18" w:rsidRPr="002A3579">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w:t>
            </w:r>
          </w:p>
        </w:tc>
      </w:tr>
      <w:tr w:rsidR="00262DCB" w:rsidTr="00262DCB">
        <w:trPr>
          <w:trHeight w:val="416"/>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6C7B">
              <w:rPr>
                <w:rFonts w:ascii="Times New Roman" w:eastAsia="Times New Roman" w:hAnsi="Times New Roman" w:cs="Times New Roman"/>
                <w:sz w:val="24"/>
                <w:szCs w:val="24"/>
              </w:rPr>
              <w:t>внесено</w:t>
            </w:r>
            <w:proofErr w:type="spellEnd"/>
            <w:r w:rsidRPr="00B26C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5) фізична особа, яка є учасником процедури закупівлі, була </w:t>
            </w:r>
            <w:r w:rsidRPr="00B26C7B">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sidRPr="00B26C7B">
              <w:rPr>
                <w:rFonts w:ascii="Times New Roman" w:eastAsia="Times New Roman" w:hAnsi="Times New Roman" w:cs="Times New Roman"/>
                <w:sz w:val="24"/>
                <w:szCs w:val="24"/>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A21095" w:rsidRDefault="00262DCB" w:rsidP="00072E03">
            <w:pPr>
              <w:widowControl w:val="0"/>
              <w:ind w:left="40" w:right="120"/>
              <w:jc w:val="both"/>
              <w:rPr>
                <w:rFonts w:ascii="Times New Roman" w:eastAsia="Times New Roman" w:hAnsi="Times New Roman" w:cs="Times New Roman"/>
                <w:b/>
                <w:sz w:val="24"/>
                <w:szCs w:val="24"/>
                <w:highlight w:val="magenta"/>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50E2E">
              <w:rPr>
                <w:rFonts w:ascii="Times New Roman" w:eastAsia="Times New Roman" w:hAnsi="Times New Roman" w:cs="Times New Roman"/>
                <w:b/>
                <w:color w:val="000000"/>
                <w:sz w:val="24"/>
                <w:szCs w:val="24"/>
                <w:u w:val="single"/>
              </w:rPr>
              <w:t>30</w:t>
            </w:r>
            <w:bookmarkStart w:id="11" w:name="_GoBack"/>
            <w:bookmarkEnd w:id="11"/>
            <w:r w:rsidR="002A3579" w:rsidRPr="00984CFD">
              <w:rPr>
                <w:rFonts w:ascii="Times New Roman" w:eastAsia="Times New Roman" w:hAnsi="Times New Roman" w:cs="Times New Roman"/>
                <w:b/>
                <w:color w:val="000000"/>
                <w:sz w:val="24"/>
                <w:szCs w:val="24"/>
                <w:u w:val="single"/>
              </w:rPr>
              <w:t>.01.2023</w:t>
            </w:r>
            <w:r w:rsidRPr="00A21095">
              <w:rPr>
                <w:rFonts w:ascii="Times New Roman" w:eastAsia="Times New Roman" w:hAnsi="Times New Roman" w:cs="Times New Roman"/>
                <w:b/>
                <w:color w:val="000000"/>
                <w:sz w:val="24"/>
                <w:szCs w:val="24"/>
                <w:u w:val="single"/>
              </w:rPr>
              <w:t xml:space="preserve"> </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 xml:space="preserve">Електронна система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Дата і час розкриття тендерних пропозицій здійснюється -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8B0EA5" w:rsidRDefault="008B0EA5" w:rsidP="008B0EA5">
            <w:pPr>
              <w:widowControl w:val="0"/>
              <w:spacing w:line="228" w:lineRule="auto"/>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8B0EA5">
              <w:rPr>
                <w:rFonts w:ascii="Times New Roman" w:eastAsia="Times New Roman" w:hAnsi="Times New Roman" w:cs="Times New Roman"/>
                <w:sz w:val="24"/>
                <w:szCs w:val="24"/>
                <w:lang w:eastAsia="uk-UA"/>
              </w:rPr>
              <w:lastRenderedPageBreak/>
              <w:t xml:space="preserve">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B0EA5">
              <w:rPr>
                <w:rFonts w:ascii="Times New Roman" w:eastAsia="Times New Roman" w:hAnsi="Times New Roman" w:cs="Times New Roman"/>
                <w:sz w:val="24"/>
                <w:szCs w:val="24"/>
                <w:lang w:eastAsia="uk-UA"/>
              </w:rPr>
              <w:t>Держаудитслужба</w:t>
            </w:r>
            <w:proofErr w:type="spellEnd"/>
            <w:r w:rsidRPr="008B0EA5">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lang w:eastAsia="uk-UA"/>
              </w:rPr>
              <w:t>абз</w:t>
            </w:r>
            <w:proofErr w:type="spellEnd"/>
            <w:r w:rsidRPr="008B0EA5">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визначає тендерну пропозицію, ціна/приведена ціна якої є найнижчою. </w:t>
            </w:r>
          </w:p>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171489">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w:t>
            </w:r>
            <w:r>
              <w:rPr>
                <w:rFonts w:ascii="Times New Roman" w:eastAsia="Times New Roman" w:hAnsi="Times New Roman" w:cs="Times New Roman"/>
                <w:sz w:val="24"/>
                <w:szCs w:val="24"/>
                <w:highlight w:val="white"/>
              </w:rPr>
              <w:lastRenderedPageBreak/>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2DCB" w:rsidRDefault="00262DCB" w:rsidP="00072E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2DB6" w:rsidRPr="00002DB6" w:rsidRDefault="00002DB6" w:rsidP="00002DB6">
      <w:pPr>
        <w:widowControl w:val="0"/>
        <w:spacing w:after="0" w:line="240" w:lineRule="auto"/>
        <w:rPr>
          <w:rFonts w:ascii="Times New Roman" w:eastAsia="Times New Roman" w:hAnsi="Times New Roman" w:cs="Times New Roman"/>
          <w:sz w:val="24"/>
          <w:szCs w:val="24"/>
        </w:rPr>
      </w:pPr>
      <w:bookmarkStart w:id="12" w:name="_heading=h.2s8eyo1" w:colFirst="0" w:colLast="0"/>
      <w:bookmarkEnd w:id="12"/>
      <w:r w:rsidRPr="00002DB6">
        <w:rPr>
          <w:rFonts w:ascii="Times New Roman" w:eastAsia="Times New Roman" w:hAnsi="Times New Roman" w:cs="Times New Roman"/>
          <w:sz w:val="24"/>
          <w:szCs w:val="24"/>
        </w:rPr>
        <w:t>1. Додаток 1 до тендерної документації «ФОРМА «ТЕНДЕРНА ПРОПОЗИЦІЯ».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 xml:space="preserve">2. Додаток 2 до тендерної документації «КВАЛІФІКАЦІЙ ВИМОГИ». </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документації «ТЕХНІЧНА СПЕЦИФІКАЦІЯ».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4. Додаток 4 до тендерної документації «ПРОЄКТ ДОГОВОРУ».</w:t>
      </w:r>
    </w:p>
    <w:p w:rsidR="007760D7" w:rsidRDefault="00002DB6" w:rsidP="00002DB6">
      <w:pPr>
        <w:widowControl w:val="0"/>
        <w:spacing w:after="0" w:line="240" w:lineRule="auto"/>
        <w:rPr>
          <w:rFonts w:ascii="Times New Roman" w:eastAsia="Times New Roman" w:hAnsi="Times New Roman" w:cs="Times New Roman"/>
          <w:sz w:val="24"/>
          <w:szCs w:val="24"/>
          <w:highlight w:val="white"/>
        </w:rPr>
      </w:pPr>
      <w:r w:rsidRPr="00002DB6">
        <w:rPr>
          <w:rFonts w:ascii="Times New Roman" w:eastAsia="Times New Roman" w:hAnsi="Times New Roman" w:cs="Times New Roman"/>
          <w:sz w:val="24"/>
          <w:szCs w:val="24"/>
        </w:rPr>
        <w:t>5. Додаток 5 до тендерної документації  «МІСЦЕ ПОСТАВКИ ТОВАРУ».</w:t>
      </w:r>
    </w:p>
    <w:sectPr w:rsidR="007760D7" w:rsidSect="00461DFC">
      <w:footerReference w:type="default" r:id="rId13"/>
      <w:footerReference w:type="first" r:id="rId14"/>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F3" w:rsidRDefault="00F72EF3">
      <w:pPr>
        <w:spacing w:after="0" w:line="240" w:lineRule="auto"/>
      </w:pPr>
      <w:r>
        <w:separator/>
      </w:r>
    </w:p>
  </w:endnote>
  <w:endnote w:type="continuationSeparator" w:id="0">
    <w:p w:rsidR="00F72EF3" w:rsidRDefault="00F7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1873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0E2E">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3E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F3" w:rsidRDefault="00F72EF3">
      <w:pPr>
        <w:spacing w:after="0" w:line="240" w:lineRule="auto"/>
      </w:pPr>
      <w:r>
        <w:separator/>
      </w:r>
    </w:p>
  </w:footnote>
  <w:footnote w:type="continuationSeparator" w:id="0">
    <w:p w:rsidR="00F72EF3" w:rsidRDefault="00F72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6">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116A7D"/>
    <w:rsid w:val="00150E2E"/>
    <w:rsid w:val="00171489"/>
    <w:rsid w:val="001873B3"/>
    <w:rsid w:val="001978DC"/>
    <w:rsid w:val="002111C5"/>
    <w:rsid w:val="00233178"/>
    <w:rsid w:val="00244B25"/>
    <w:rsid w:val="00253166"/>
    <w:rsid w:val="00262DCB"/>
    <w:rsid w:val="002A3579"/>
    <w:rsid w:val="002C4F18"/>
    <w:rsid w:val="00391C7C"/>
    <w:rsid w:val="003C3089"/>
    <w:rsid w:val="003E5420"/>
    <w:rsid w:val="00455560"/>
    <w:rsid w:val="00461DFC"/>
    <w:rsid w:val="004657B9"/>
    <w:rsid w:val="004B195F"/>
    <w:rsid w:val="0050684A"/>
    <w:rsid w:val="00535159"/>
    <w:rsid w:val="0061344C"/>
    <w:rsid w:val="00633EAE"/>
    <w:rsid w:val="006344BC"/>
    <w:rsid w:val="00680BBA"/>
    <w:rsid w:val="007760D7"/>
    <w:rsid w:val="007B40C8"/>
    <w:rsid w:val="007F208A"/>
    <w:rsid w:val="00832525"/>
    <w:rsid w:val="0086174F"/>
    <w:rsid w:val="00886B32"/>
    <w:rsid w:val="008B0EA5"/>
    <w:rsid w:val="008B4411"/>
    <w:rsid w:val="008C222B"/>
    <w:rsid w:val="008C5B75"/>
    <w:rsid w:val="008D2901"/>
    <w:rsid w:val="009032BF"/>
    <w:rsid w:val="009478A0"/>
    <w:rsid w:val="00984CFD"/>
    <w:rsid w:val="00990E1D"/>
    <w:rsid w:val="009962DA"/>
    <w:rsid w:val="00996420"/>
    <w:rsid w:val="00A21095"/>
    <w:rsid w:val="00AD5430"/>
    <w:rsid w:val="00B23D87"/>
    <w:rsid w:val="00B26C7B"/>
    <w:rsid w:val="00B402D7"/>
    <w:rsid w:val="00B8449D"/>
    <w:rsid w:val="00BF09D6"/>
    <w:rsid w:val="00C040C6"/>
    <w:rsid w:val="00C211AE"/>
    <w:rsid w:val="00C325E2"/>
    <w:rsid w:val="00C90338"/>
    <w:rsid w:val="00CC4717"/>
    <w:rsid w:val="00D22248"/>
    <w:rsid w:val="00D56B00"/>
    <w:rsid w:val="00D63E98"/>
    <w:rsid w:val="00DE3C47"/>
    <w:rsid w:val="00E4267C"/>
    <w:rsid w:val="00E6382B"/>
    <w:rsid w:val="00E7232F"/>
    <w:rsid w:val="00EB1690"/>
    <w:rsid w:val="00EC38F1"/>
    <w:rsid w:val="00F270B8"/>
    <w:rsid w:val="00F72EF3"/>
    <w:rsid w:val="00F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9377</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4</cp:revision>
  <cp:lastPrinted>2022-11-16T07:38:00Z</cp:lastPrinted>
  <dcterms:created xsi:type="dcterms:W3CDTF">2023-01-19T07:41:00Z</dcterms:created>
  <dcterms:modified xsi:type="dcterms:W3CDTF">2023-01-20T08:36:00Z</dcterms:modified>
</cp:coreProperties>
</file>