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610AF2F3"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497C81" w:rsidRPr="00497C81">
        <w:rPr>
          <w:rFonts w:ascii="Times New Roman" w:hAnsi="Times New Roman" w:cs="Times New Roman"/>
        </w:rPr>
        <w:t>Медичні матеріали, код 33140000-3 за ДК 021:2015 «Єдиний закупівельний словник» (Медичні матеріали нехімічні та гематологічні одноразового застосування, код 33141000-0  за ДК 021:2015 «Єдиний закупівельний словник», код 43970 за НК 024:2023  - Стерильний чохол для кабелю/</w:t>
      </w:r>
      <w:proofErr w:type="spellStart"/>
      <w:r w:rsidR="00497C81" w:rsidRPr="00497C81">
        <w:rPr>
          <w:rFonts w:ascii="Times New Roman" w:hAnsi="Times New Roman" w:cs="Times New Roman"/>
        </w:rPr>
        <w:t>провода</w:t>
      </w:r>
      <w:proofErr w:type="spellEnd"/>
      <w:r w:rsidR="00497C81" w:rsidRPr="00497C81">
        <w:rPr>
          <w:rFonts w:ascii="Times New Roman" w:hAnsi="Times New Roman" w:cs="Times New Roman"/>
        </w:rPr>
        <w:t>/давача/зонда)</w:t>
      </w:r>
      <w:r w:rsidRPr="00BE7920">
        <w:rPr>
          <w:rFonts w:ascii="Times New Roman" w:hAnsi="Times New Roman" w:cs="Times New Roman"/>
        </w:rPr>
        <w:t xml:space="preserve">, в кількості </w:t>
      </w:r>
      <w:r w:rsidR="00497C81">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lastRenderedPageBreak/>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CE889E0"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02EBDDE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w:t>
      </w:r>
      <w:r w:rsidRPr="00BE7920">
        <w:rPr>
          <w:rFonts w:ascii="Times New Roman" w:hAnsi="Times New Roman" w:cs="Times New Roman"/>
        </w:rPr>
        <w:lastRenderedPageBreak/>
        <w:t>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w:t>
      </w:r>
      <w:r w:rsidRPr="00BE7920">
        <w:rPr>
          <w:rFonts w:ascii="Times New Roman" w:hAnsi="Times New Roman" w:cs="Times New Roman"/>
        </w:rPr>
        <w:lastRenderedPageBreak/>
        <w:t>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w:t>
      </w:r>
      <w:r w:rsidRPr="00BE7920">
        <w:rPr>
          <w:rFonts w:ascii="Times New Roman" w:eastAsia="SimSun" w:hAnsi="Times New Roman" w:cs="Times New Roman"/>
          <w:bCs/>
          <w:kern w:val="3"/>
          <w:lang w:eastAsia="zh-CN" w:bidi="hi-IN"/>
        </w:rPr>
        <w:lastRenderedPageBreak/>
        <w:t>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5386"/>
        <w:gridCol w:w="1843"/>
        <w:gridCol w:w="1843"/>
        <w:gridCol w:w="1415"/>
        <w:gridCol w:w="1136"/>
        <w:gridCol w:w="1421"/>
        <w:gridCol w:w="1522"/>
      </w:tblGrid>
      <w:tr w:rsidR="001E4AAE" w:rsidRPr="00735797" w14:paraId="529855CD" w14:textId="77777777" w:rsidTr="002F7DCF">
        <w:trPr>
          <w:trHeight w:val="1318"/>
          <w:jc w:val="center"/>
        </w:trPr>
        <w:tc>
          <w:tcPr>
            <w:tcW w:w="140" w:type="pct"/>
            <w:vAlign w:val="center"/>
          </w:tcPr>
          <w:p w14:paraId="7FAB4FE9" w14:textId="7777777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w:t>
            </w:r>
          </w:p>
          <w:p w14:paraId="6A259873" w14:textId="7777777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п/п</w:t>
            </w:r>
          </w:p>
        </w:tc>
        <w:tc>
          <w:tcPr>
            <w:tcW w:w="1797" w:type="pct"/>
            <w:vAlign w:val="center"/>
          </w:tcPr>
          <w:p w14:paraId="7102C8FE" w14:textId="5F90AAA5" w:rsidR="001E4AAE" w:rsidRPr="004232F1" w:rsidRDefault="001E4AAE" w:rsidP="004232F1">
            <w:pPr>
              <w:spacing w:before="60" w:after="60" w:line="240" w:lineRule="auto"/>
              <w:jc w:val="center"/>
              <w:rPr>
                <w:rFonts w:ascii="Times New Roman" w:hAnsi="Times New Roman" w:cs="Times New Roman"/>
                <w:b/>
              </w:rPr>
            </w:pPr>
            <w:r w:rsidRPr="004232F1">
              <w:rPr>
                <w:rFonts w:ascii="Times New Roman" w:hAnsi="Times New Roman" w:cs="Times New Roman"/>
                <w:b/>
              </w:rPr>
              <w:t xml:space="preserve">Найменування </w:t>
            </w:r>
          </w:p>
        </w:tc>
        <w:tc>
          <w:tcPr>
            <w:tcW w:w="615" w:type="pct"/>
            <w:vAlign w:val="center"/>
          </w:tcPr>
          <w:p w14:paraId="113C3992" w14:textId="6D5A3BBD"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Торгова назва згідно з документами виробника</w:t>
            </w:r>
          </w:p>
        </w:tc>
        <w:tc>
          <w:tcPr>
            <w:tcW w:w="615" w:type="pct"/>
            <w:vAlign w:val="center"/>
          </w:tcPr>
          <w:p w14:paraId="2053641E" w14:textId="4169BBC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Виробник, країна походження</w:t>
            </w:r>
            <w:r w:rsidRPr="00735797">
              <w:rPr>
                <w:rFonts w:ascii="Times New Roman" w:hAnsi="Times New Roman" w:cs="Times New Roman"/>
                <w:b/>
                <w:bCs/>
                <w:sz w:val="20"/>
                <w:szCs w:val="20"/>
              </w:rPr>
              <w:t>.</w:t>
            </w:r>
          </w:p>
        </w:tc>
        <w:tc>
          <w:tcPr>
            <w:tcW w:w="472" w:type="pct"/>
            <w:vAlign w:val="center"/>
          </w:tcPr>
          <w:p w14:paraId="51FC58AB" w14:textId="3E41A15F"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bCs/>
                <w:sz w:val="20"/>
                <w:szCs w:val="20"/>
              </w:rPr>
              <w:t xml:space="preserve">Од </w:t>
            </w:r>
            <w:proofErr w:type="spellStart"/>
            <w:r w:rsidRPr="00735797">
              <w:rPr>
                <w:rFonts w:ascii="Times New Roman" w:hAnsi="Times New Roman" w:cs="Times New Roman"/>
                <w:b/>
                <w:bCs/>
                <w:sz w:val="20"/>
                <w:szCs w:val="20"/>
              </w:rPr>
              <w:t>вим</w:t>
            </w:r>
            <w:proofErr w:type="spellEnd"/>
          </w:p>
        </w:tc>
        <w:tc>
          <w:tcPr>
            <w:tcW w:w="379" w:type="pct"/>
            <w:vAlign w:val="center"/>
          </w:tcPr>
          <w:p w14:paraId="56EE68A3" w14:textId="43460875"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Кількість</w:t>
            </w:r>
          </w:p>
        </w:tc>
        <w:tc>
          <w:tcPr>
            <w:tcW w:w="474" w:type="pct"/>
            <w:vAlign w:val="center"/>
          </w:tcPr>
          <w:p w14:paraId="3A34851A" w14:textId="499A5FB9"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Ціна, грн.</w:t>
            </w:r>
          </w:p>
          <w:p w14:paraId="0BE304C0" w14:textId="7777777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(без ПДВ)</w:t>
            </w:r>
          </w:p>
        </w:tc>
        <w:tc>
          <w:tcPr>
            <w:tcW w:w="508" w:type="pct"/>
            <w:vAlign w:val="center"/>
          </w:tcPr>
          <w:p w14:paraId="1F39E61C" w14:textId="7777777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Сума, грн.</w:t>
            </w:r>
          </w:p>
          <w:p w14:paraId="0B3D8808" w14:textId="77777777" w:rsidR="001E4AAE" w:rsidRPr="00735797" w:rsidRDefault="001E4AAE"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 xml:space="preserve"> (без  ПДВ)</w:t>
            </w:r>
          </w:p>
        </w:tc>
      </w:tr>
      <w:tr w:rsidR="00B06F4F" w:rsidRPr="00735797" w14:paraId="108DE2B8" w14:textId="77777777" w:rsidTr="002F7DCF">
        <w:trPr>
          <w:trHeight w:val="20"/>
          <w:jc w:val="center"/>
        </w:trPr>
        <w:tc>
          <w:tcPr>
            <w:tcW w:w="140" w:type="pct"/>
            <w:vAlign w:val="center"/>
          </w:tcPr>
          <w:p w14:paraId="39206A79" w14:textId="46079E2B" w:rsidR="00B06F4F" w:rsidRPr="00735797" w:rsidRDefault="00B06F4F" w:rsidP="00B06F4F">
            <w:pPr>
              <w:spacing w:after="0" w:line="240" w:lineRule="auto"/>
              <w:ind w:left="1134" w:hanging="1134"/>
              <w:jc w:val="center"/>
              <w:rPr>
                <w:rFonts w:ascii="Times New Roman" w:hAnsi="Times New Roman" w:cs="Times New Roman"/>
                <w:sz w:val="20"/>
                <w:szCs w:val="20"/>
              </w:rPr>
            </w:pPr>
            <w:r w:rsidRPr="00735797">
              <w:rPr>
                <w:rFonts w:ascii="Times New Roman" w:hAnsi="Times New Roman" w:cs="Times New Roman"/>
                <w:sz w:val="20"/>
                <w:szCs w:val="20"/>
              </w:rPr>
              <w:t>1</w:t>
            </w:r>
          </w:p>
        </w:tc>
        <w:tc>
          <w:tcPr>
            <w:tcW w:w="1797" w:type="pct"/>
            <w:vAlign w:val="center"/>
          </w:tcPr>
          <w:p w14:paraId="7874E7D9" w14:textId="76E663CF" w:rsidR="00250EE2" w:rsidRDefault="004232F1" w:rsidP="00250EE2">
            <w:pPr>
              <w:spacing w:before="60" w:after="60"/>
              <w:jc w:val="both"/>
              <w:rPr>
                <w:rFonts w:ascii="Times New Roman" w:hAnsi="Times New Roman" w:cs="Times New Roman"/>
                <w:color w:val="000000"/>
              </w:rPr>
            </w:pPr>
            <w:r w:rsidRPr="00250EE2">
              <w:rPr>
                <w:rFonts w:ascii="Times New Roman" w:hAnsi="Times New Roman" w:cs="Times New Roman"/>
                <w:b/>
                <w:color w:val="000000"/>
              </w:rPr>
              <w:t xml:space="preserve">Чохол для апаратури діаметром 100 см </w:t>
            </w:r>
            <w:bookmarkStart w:id="1" w:name="_GoBack"/>
            <w:bookmarkEnd w:id="1"/>
            <w:r w:rsidRPr="00250EE2">
              <w:rPr>
                <w:rFonts w:ascii="Times New Roman" w:hAnsi="Times New Roman" w:cs="Times New Roman"/>
                <w:b/>
                <w:color w:val="000000"/>
              </w:rPr>
              <w:t>стерильний Поліетилен-55 г/м2</w:t>
            </w:r>
          </w:p>
          <w:p w14:paraId="69AC5796" w14:textId="24089626" w:rsidR="00B06F4F" w:rsidRPr="004232F1" w:rsidRDefault="004232F1" w:rsidP="004232F1">
            <w:pPr>
              <w:spacing w:before="60" w:after="60"/>
              <w:jc w:val="both"/>
              <w:rPr>
                <w:rFonts w:ascii="Times New Roman" w:hAnsi="Times New Roman" w:cs="Times New Roman"/>
                <w:color w:val="000000"/>
              </w:rPr>
            </w:pPr>
            <w:r w:rsidRPr="004232F1">
              <w:rPr>
                <w:rFonts w:ascii="Times New Roman" w:hAnsi="Times New Roman" w:cs="Times New Roman"/>
                <w:color w:val="000000"/>
              </w:rPr>
              <w:t>(Медичні матеріали нехімічні та гематологічні одноразового застосування, код 33141000-0  за ДК 021:2015 «Єдиний закупівельний словник», код 43970 за НК 024:2023  - Стерильний чохол для кабелю/</w:t>
            </w:r>
            <w:proofErr w:type="spellStart"/>
            <w:r w:rsidRPr="004232F1">
              <w:rPr>
                <w:rFonts w:ascii="Times New Roman" w:hAnsi="Times New Roman" w:cs="Times New Roman"/>
                <w:color w:val="000000"/>
              </w:rPr>
              <w:t>провода</w:t>
            </w:r>
            <w:proofErr w:type="spellEnd"/>
            <w:r w:rsidRPr="004232F1">
              <w:rPr>
                <w:rFonts w:ascii="Times New Roman" w:hAnsi="Times New Roman" w:cs="Times New Roman"/>
                <w:color w:val="000000"/>
              </w:rPr>
              <w:t>/давача/зонда)</w:t>
            </w:r>
          </w:p>
        </w:tc>
        <w:tc>
          <w:tcPr>
            <w:tcW w:w="615" w:type="pct"/>
            <w:vAlign w:val="center"/>
          </w:tcPr>
          <w:p w14:paraId="56145D78" w14:textId="77777777" w:rsidR="00B06F4F" w:rsidRPr="00735797" w:rsidRDefault="00B06F4F" w:rsidP="00B06F4F">
            <w:pPr>
              <w:spacing w:after="0" w:line="240" w:lineRule="auto"/>
              <w:jc w:val="center"/>
              <w:rPr>
                <w:rFonts w:ascii="Times New Roman" w:hAnsi="Times New Roman" w:cs="Times New Roman"/>
                <w:sz w:val="20"/>
                <w:szCs w:val="20"/>
              </w:rPr>
            </w:pPr>
          </w:p>
        </w:tc>
        <w:tc>
          <w:tcPr>
            <w:tcW w:w="615" w:type="pct"/>
            <w:vAlign w:val="center"/>
          </w:tcPr>
          <w:p w14:paraId="0AAEB8D6" w14:textId="72863881" w:rsidR="00B06F4F" w:rsidRPr="00735797" w:rsidRDefault="00B06F4F" w:rsidP="00B06F4F">
            <w:pPr>
              <w:spacing w:after="0" w:line="240" w:lineRule="auto"/>
              <w:jc w:val="center"/>
              <w:rPr>
                <w:rFonts w:ascii="Times New Roman" w:hAnsi="Times New Roman" w:cs="Times New Roman"/>
                <w:sz w:val="20"/>
                <w:szCs w:val="20"/>
              </w:rPr>
            </w:pPr>
          </w:p>
        </w:tc>
        <w:tc>
          <w:tcPr>
            <w:tcW w:w="472" w:type="pct"/>
            <w:vAlign w:val="center"/>
          </w:tcPr>
          <w:p w14:paraId="0570D70E" w14:textId="6A983526" w:rsidR="00B06F4F" w:rsidRPr="00735797" w:rsidRDefault="00B06F4F" w:rsidP="00B06F4F">
            <w:pPr>
              <w:spacing w:after="0" w:line="240" w:lineRule="auto"/>
              <w:jc w:val="center"/>
              <w:rPr>
                <w:rFonts w:ascii="Times New Roman" w:hAnsi="Times New Roman" w:cs="Times New Roman"/>
                <w:sz w:val="20"/>
                <w:szCs w:val="20"/>
              </w:rPr>
            </w:pPr>
            <w:proofErr w:type="spellStart"/>
            <w:r w:rsidRPr="00735797">
              <w:rPr>
                <w:rFonts w:ascii="Times New Roman" w:hAnsi="Times New Roman" w:cs="Times New Roman"/>
                <w:sz w:val="20"/>
                <w:szCs w:val="20"/>
              </w:rPr>
              <w:t>шт</w:t>
            </w:r>
            <w:proofErr w:type="spellEnd"/>
          </w:p>
        </w:tc>
        <w:tc>
          <w:tcPr>
            <w:tcW w:w="379" w:type="pct"/>
            <w:vAlign w:val="center"/>
          </w:tcPr>
          <w:p w14:paraId="5D602F24" w14:textId="7ED45B37" w:rsidR="00B06F4F" w:rsidRPr="00735797" w:rsidRDefault="004232F1" w:rsidP="00B06F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474" w:type="pct"/>
            <w:vAlign w:val="center"/>
          </w:tcPr>
          <w:p w14:paraId="6BF59E0A" w14:textId="0D16BF0D" w:rsidR="00B06F4F" w:rsidRPr="00735797" w:rsidRDefault="00B06F4F" w:rsidP="00B06F4F">
            <w:pPr>
              <w:spacing w:after="0" w:line="240" w:lineRule="auto"/>
              <w:jc w:val="center"/>
              <w:rPr>
                <w:rFonts w:ascii="Times New Roman" w:hAnsi="Times New Roman" w:cs="Times New Roman"/>
                <w:sz w:val="20"/>
                <w:szCs w:val="20"/>
              </w:rPr>
            </w:pPr>
          </w:p>
        </w:tc>
        <w:tc>
          <w:tcPr>
            <w:tcW w:w="508" w:type="pct"/>
            <w:vAlign w:val="center"/>
          </w:tcPr>
          <w:p w14:paraId="48BCDD98" w14:textId="77777777" w:rsidR="00B06F4F" w:rsidRPr="00735797" w:rsidRDefault="00B06F4F" w:rsidP="00B06F4F">
            <w:pPr>
              <w:spacing w:after="0" w:line="240" w:lineRule="auto"/>
              <w:jc w:val="center"/>
              <w:rPr>
                <w:rFonts w:ascii="Times New Roman" w:hAnsi="Times New Roman" w:cs="Times New Roman"/>
                <w:sz w:val="20"/>
                <w:szCs w:val="20"/>
              </w:rPr>
            </w:pPr>
          </w:p>
        </w:tc>
      </w:tr>
      <w:tr w:rsidR="001E4AAE" w:rsidRPr="00735797" w14:paraId="7B6D6EC9" w14:textId="77777777" w:rsidTr="00735797">
        <w:trPr>
          <w:trHeight w:val="20"/>
          <w:jc w:val="center"/>
        </w:trPr>
        <w:tc>
          <w:tcPr>
            <w:tcW w:w="4492" w:type="pct"/>
            <w:gridSpan w:val="7"/>
            <w:vAlign w:val="center"/>
          </w:tcPr>
          <w:p w14:paraId="3958336D" w14:textId="1484B572" w:rsidR="001E4AAE" w:rsidRPr="00735797" w:rsidRDefault="001E4AAE"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Всього на загальну суму без ПДВ:</w:t>
            </w:r>
          </w:p>
        </w:tc>
        <w:tc>
          <w:tcPr>
            <w:tcW w:w="508" w:type="pct"/>
            <w:vAlign w:val="center"/>
          </w:tcPr>
          <w:p w14:paraId="07B9BBFC" w14:textId="77777777" w:rsidR="001E4AAE" w:rsidRPr="00735797" w:rsidRDefault="001E4AAE" w:rsidP="001E4AAE">
            <w:pPr>
              <w:spacing w:after="0" w:line="240" w:lineRule="auto"/>
              <w:jc w:val="center"/>
              <w:rPr>
                <w:rFonts w:ascii="Times New Roman" w:hAnsi="Times New Roman" w:cs="Times New Roman"/>
                <w:sz w:val="20"/>
                <w:szCs w:val="20"/>
              </w:rPr>
            </w:pPr>
          </w:p>
        </w:tc>
      </w:tr>
      <w:tr w:rsidR="001E4AAE" w:rsidRPr="00735797" w14:paraId="17DA7150" w14:textId="77777777" w:rsidTr="00735797">
        <w:trPr>
          <w:trHeight w:val="20"/>
          <w:jc w:val="center"/>
        </w:trPr>
        <w:tc>
          <w:tcPr>
            <w:tcW w:w="4492" w:type="pct"/>
            <w:gridSpan w:val="7"/>
            <w:vAlign w:val="center"/>
          </w:tcPr>
          <w:p w14:paraId="304016B9" w14:textId="04EABA51" w:rsidR="001E4AAE" w:rsidRPr="00735797" w:rsidRDefault="001E4AAE"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ПДВ 7%:</w:t>
            </w:r>
          </w:p>
        </w:tc>
        <w:tc>
          <w:tcPr>
            <w:tcW w:w="508" w:type="pct"/>
            <w:vAlign w:val="center"/>
          </w:tcPr>
          <w:p w14:paraId="25B47ADF" w14:textId="77777777" w:rsidR="001E4AAE" w:rsidRPr="00735797" w:rsidRDefault="001E4AAE" w:rsidP="001E4AAE">
            <w:pPr>
              <w:spacing w:after="0" w:line="240" w:lineRule="auto"/>
              <w:jc w:val="center"/>
              <w:rPr>
                <w:rFonts w:ascii="Times New Roman" w:hAnsi="Times New Roman" w:cs="Times New Roman"/>
                <w:sz w:val="20"/>
                <w:szCs w:val="20"/>
              </w:rPr>
            </w:pPr>
          </w:p>
        </w:tc>
      </w:tr>
      <w:tr w:rsidR="001E4AAE" w:rsidRPr="00735797" w14:paraId="2CA18846" w14:textId="77777777" w:rsidTr="00735797">
        <w:trPr>
          <w:trHeight w:val="20"/>
          <w:jc w:val="center"/>
        </w:trPr>
        <w:tc>
          <w:tcPr>
            <w:tcW w:w="4492" w:type="pct"/>
            <w:gridSpan w:val="7"/>
            <w:vAlign w:val="center"/>
          </w:tcPr>
          <w:p w14:paraId="3239DBA9" w14:textId="131DFA7F" w:rsidR="001E4AAE" w:rsidRPr="00735797" w:rsidRDefault="001E4AAE"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Всього на загальну суму з ПДВ:</w:t>
            </w:r>
          </w:p>
        </w:tc>
        <w:tc>
          <w:tcPr>
            <w:tcW w:w="508" w:type="pct"/>
            <w:vAlign w:val="center"/>
          </w:tcPr>
          <w:p w14:paraId="70ACB4D0" w14:textId="77777777" w:rsidR="001E4AAE" w:rsidRPr="00735797" w:rsidRDefault="001E4AAE" w:rsidP="001E4AAE">
            <w:pPr>
              <w:spacing w:after="0" w:line="240" w:lineRule="auto"/>
              <w:jc w:val="center"/>
              <w:rPr>
                <w:rFonts w:ascii="Times New Roman" w:hAnsi="Times New Roman" w:cs="Times New Roman"/>
                <w:sz w:val="20"/>
                <w:szCs w:val="20"/>
              </w:rPr>
            </w:pPr>
          </w:p>
        </w:tc>
      </w:tr>
    </w:tbl>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735797">
      <w:pgSz w:w="16838" w:h="11906" w:orient="landscape"/>
      <w:pgMar w:top="426"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1990"/>
    <w:rsid w:val="00117F59"/>
    <w:rsid w:val="00122F1E"/>
    <w:rsid w:val="00123A86"/>
    <w:rsid w:val="001744E7"/>
    <w:rsid w:val="001E4AAE"/>
    <w:rsid w:val="001F30F1"/>
    <w:rsid w:val="00202BEF"/>
    <w:rsid w:val="00250EE2"/>
    <w:rsid w:val="0025538A"/>
    <w:rsid w:val="002C2E52"/>
    <w:rsid w:val="002D6019"/>
    <w:rsid w:val="002E3CD6"/>
    <w:rsid w:val="002F6DED"/>
    <w:rsid w:val="002F7DCF"/>
    <w:rsid w:val="00340933"/>
    <w:rsid w:val="00380F68"/>
    <w:rsid w:val="00387DFD"/>
    <w:rsid w:val="004232F1"/>
    <w:rsid w:val="00497C81"/>
    <w:rsid w:val="004A2DCE"/>
    <w:rsid w:val="004D57B0"/>
    <w:rsid w:val="005537B0"/>
    <w:rsid w:val="005B4DB7"/>
    <w:rsid w:val="005C1A0C"/>
    <w:rsid w:val="006C521B"/>
    <w:rsid w:val="006E6E12"/>
    <w:rsid w:val="006F1C34"/>
    <w:rsid w:val="00735797"/>
    <w:rsid w:val="00834EDC"/>
    <w:rsid w:val="008F117A"/>
    <w:rsid w:val="009026A4"/>
    <w:rsid w:val="00934098"/>
    <w:rsid w:val="00995B03"/>
    <w:rsid w:val="009A6F23"/>
    <w:rsid w:val="00A265A3"/>
    <w:rsid w:val="00A27DBD"/>
    <w:rsid w:val="00A35A3D"/>
    <w:rsid w:val="00AE1DB8"/>
    <w:rsid w:val="00AE4EC2"/>
    <w:rsid w:val="00B06F4F"/>
    <w:rsid w:val="00B10CF9"/>
    <w:rsid w:val="00B538CC"/>
    <w:rsid w:val="00BE7920"/>
    <w:rsid w:val="00BF5097"/>
    <w:rsid w:val="00C865BE"/>
    <w:rsid w:val="00CA3EB5"/>
    <w:rsid w:val="00CC3953"/>
    <w:rsid w:val="00CC409E"/>
    <w:rsid w:val="00D13C77"/>
    <w:rsid w:val="00D307AD"/>
    <w:rsid w:val="00D47EF2"/>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13447</Words>
  <Characters>7666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34</cp:revision>
  <dcterms:created xsi:type="dcterms:W3CDTF">2023-07-24T16:50:00Z</dcterms:created>
  <dcterms:modified xsi:type="dcterms:W3CDTF">2024-03-28T17:58:00Z</dcterms:modified>
</cp:coreProperties>
</file>