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оголошення про проведення </w:t>
      </w:r>
    </w:p>
    <w:p w14:paraId="165BB4E9" w14:textId="77777777" w:rsidR="00484304" w:rsidRDefault="00F75119" w:rsidP="00F75119">
      <w:pPr>
        <w:widowControl w:val="0"/>
        <w:tabs>
          <w:tab w:val="left" w:pos="4860"/>
        </w:tabs>
        <w:autoSpaceDE w:val="0"/>
        <w:autoSpaceDN w:val="0"/>
        <w:adjustRightInd w:val="0"/>
        <w:jc w:val="right"/>
        <w:rPr>
          <w:b/>
          <w:bCs/>
          <w:iCs/>
        </w:rPr>
      </w:pPr>
      <w:r>
        <w:rPr>
          <w:b/>
          <w:bCs/>
          <w:iCs/>
        </w:rPr>
        <w:t xml:space="preserve">спрощеної закупівлі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Default="00615D4D" w:rsidP="007C6EB5">
      <w:pPr>
        <w:ind w:firstLine="425"/>
        <w:jc w:val="both"/>
        <w:rPr>
          <w:lang w:val="uk-UA"/>
        </w:rPr>
      </w:pPr>
      <w:r w:rsidRPr="00FB7185">
        <w:rPr>
          <w:lang w:val="uk-UA"/>
        </w:rPr>
        <w:t>Учасник повинен надати в сканованому вигляді у форматі pdf в складі своєї пропозиції наступні документи:</w:t>
      </w:r>
    </w:p>
    <w:p w14:paraId="3B4D211A" w14:textId="77777777" w:rsidR="00AC7E33" w:rsidRPr="00FB7185" w:rsidRDefault="00AC13EC" w:rsidP="007C6EB5">
      <w:pPr>
        <w:ind w:firstLine="425"/>
        <w:jc w:val="both"/>
      </w:pPr>
      <w:r>
        <w:rPr>
          <w:lang w:val="uk-UA"/>
        </w:rPr>
        <w:t xml:space="preserve">1. </w:t>
      </w:r>
      <w:r w:rsidR="00AC7E33">
        <w:t>С</w:t>
      </w:r>
      <w:r w:rsidR="00AC7E33" w:rsidRPr="007C7CDD">
        <w:t>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r w:rsidR="00AC7E33" w:rsidRPr="00FB7185">
        <w:t>;</w:t>
      </w:r>
    </w:p>
    <w:p w14:paraId="18FBACB4" w14:textId="77777777" w:rsidR="00AC7E33" w:rsidRPr="00FB7185" w:rsidRDefault="00EF3E5B" w:rsidP="007C6EB5">
      <w:pPr>
        <w:ind w:firstLine="425"/>
        <w:jc w:val="both"/>
      </w:pPr>
      <w:r>
        <w:rPr>
          <w:lang w:val="uk-UA"/>
        </w:rPr>
        <w:t>2. В</w:t>
      </w:r>
      <w:r>
        <w:t>итяг</w:t>
      </w:r>
      <w:r w:rsidR="00AC7E33" w:rsidRPr="00FB7185">
        <w:t xml:space="preserve"> або виписку  з Єдиного державного реєстру,  юридичних осіб та фізичних осіб-підприємців;</w:t>
      </w:r>
    </w:p>
    <w:p w14:paraId="0A1D2918" w14:textId="77777777" w:rsidR="00AC7E33" w:rsidRDefault="00AC13EC" w:rsidP="007C6EB5">
      <w:pPr>
        <w:ind w:firstLine="425"/>
        <w:jc w:val="both"/>
      </w:pPr>
      <w:r>
        <w:rPr>
          <w:lang w:val="uk-UA"/>
        </w:rPr>
        <w:t>3.</w:t>
      </w:r>
      <w:r>
        <w:t xml:space="preserve"> </w:t>
      </w:r>
      <w:r w:rsidR="00EF3E5B">
        <w:rPr>
          <w:lang w:val="uk-UA"/>
        </w:rPr>
        <w:t>С</w:t>
      </w:r>
      <w:r w:rsidR="00EF3E5B">
        <w:t>відоцтво</w:t>
      </w:r>
      <w:r w:rsidR="00AC7E33" w:rsidRPr="00FB7185">
        <w:t xml:space="preserve">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r w:rsidR="00AC7E33" w:rsidRPr="00E56542">
        <w:t>окументи, що підтверджують повноваження посадової особи або представника учасника процедури закупівлі щодо підпису документів пропозиції,  а саме:</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або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w:t>
      </w:r>
      <w:r w:rsidR="00AC7E33">
        <w:t xml:space="preserve"> правління, тощо</w:t>
      </w:r>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якщо підписувати документи пропозиції буде інша уповноважена особа, то учасник надає оригінал або копію довіреності або доручення.</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ля фізичної особи або фізичної особи-підприємця:</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70499CBC" w14:textId="496F08ED" w:rsidR="00F13B90" w:rsidRDefault="00651B07"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w:t>
      </w:r>
      <w:r w:rsidR="00F13B90" w:rsidRPr="00F13B90">
        <w:rPr>
          <w:lang w:val="uk-UA"/>
        </w:rPr>
        <w:t>. Проєкт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7D6D51DB" w14:textId="41A8E53E" w:rsidR="00F13B90" w:rsidRPr="00FB7185" w:rsidRDefault="00651B07"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6</w:t>
      </w:r>
      <w:r w:rsidR="00F13B90" w:rsidRPr="00F13B90">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51F48772" w:rsidR="001F4416" w:rsidRPr="001F4416" w:rsidRDefault="00651B07" w:rsidP="001F4416">
      <w:pPr>
        <w:widowControl w:val="0"/>
        <w:shd w:val="clear" w:color="auto" w:fill="FFFFFF"/>
        <w:tabs>
          <w:tab w:val="left" w:pos="567"/>
          <w:tab w:val="left" w:pos="993"/>
        </w:tabs>
        <w:ind w:firstLine="425"/>
        <w:jc w:val="both"/>
        <w:rPr>
          <w:lang w:val="uk-UA"/>
        </w:rPr>
      </w:pPr>
      <w:r>
        <w:rPr>
          <w:lang w:val="uk-UA"/>
        </w:rPr>
        <w:t>7</w:t>
      </w:r>
      <w:r w:rsidR="001F4416">
        <w:rPr>
          <w:lang w:val="uk-UA"/>
        </w:rPr>
        <w:t xml:space="preserve">. </w:t>
      </w:r>
      <w:r w:rsidR="00900D85">
        <w:rPr>
          <w:lang w:val="uk-UA"/>
        </w:rPr>
        <w:t>Заповнена ф</w:t>
      </w:r>
      <w:r w:rsidR="001F4416">
        <w:rPr>
          <w:lang w:val="uk-UA"/>
        </w:rPr>
        <w:t xml:space="preserve">орма пропозиція </w:t>
      </w:r>
      <w:r w:rsidR="001F4416" w:rsidRPr="00FB7185">
        <w:rPr>
          <w:lang w:val="uk-UA"/>
        </w:rPr>
        <w:t>за підписом керівника або уповноваженої особи учасника</w:t>
      </w:r>
      <w:r w:rsidR="001F4416">
        <w:rPr>
          <w:lang w:val="uk-UA"/>
        </w:rPr>
        <w:t xml:space="preserve"> </w:t>
      </w:r>
      <w:r w:rsidR="001F4416" w:rsidRPr="001C6F01">
        <w:rPr>
          <w:bCs/>
        </w:rPr>
        <w:t>з  відбитком печатки</w:t>
      </w:r>
      <w:r w:rsidR="001F4416" w:rsidRPr="001F03F7">
        <w:rPr>
          <w:b/>
          <w:bCs/>
        </w:rPr>
        <w:t xml:space="preserve"> </w:t>
      </w:r>
      <w:r w:rsidR="001F4416" w:rsidRPr="001F03F7">
        <w:rPr>
          <w:bCs/>
        </w:rPr>
        <w:t>(</w:t>
      </w:r>
      <w:r w:rsidR="001F4416" w:rsidRPr="001F03F7">
        <w:t>подається без відбитку печатки, у разі якщо учасник,  здійснює діяльність без печатки згідно з чинним законодавством)</w:t>
      </w:r>
      <w:r w:rsidR="001F4416">
        <w:rPr>
          <w:lang w:val="uk-UA"/>
        </w:rPr>
        <w:t>.</w:t>
      </w:r>
    </w:p>
    <w:p w14:paraId="74FEB40C" w14:textId="7E6FF46C" w:rsidR="00051EFE" w:rsidRPr="009635AE" w:rsidRDefault="00651B07" w:rsidP="009635AE">
      <w:pPr>
        <w:ind w:firstLine="425"/>
        <w:jc w:val="both"/>
        <w:rPr>
          <w:color w:val="000000" w:themeColor="text1"/>
          <w:lang w:val="uk-UA"/>
        </w:rPr>
      </w:pPr>
      <w:r>
        <w:rPr>
          <w:lang w:val="uk-UA"/>
        </w:rPr>
        <w:t>8</w:t>
      </w:r>
      <w:r w:rsidR="00051EFE" w:rsidRPr="002515E6">
        <w:rPr>
          <w:lang w:val="uk-UA"/>
        </w:rPr>
        <w:t xml:space="preserve">. </w:t>
      </w:r>
      <w:r w:rsidR="00051EFE" w:rsidRPr="002515E6">
        <w:rPr>
          <w:color w:val="000000" w:themeColor="text1"/>
          <w:lang w:val="uk-UA"/>
        </w:rPr>
        <w:t>На підтвердження фінансової спроможності учасник надає фінансову звітність</w:t>
      </w:r>
      <w:r w:rsidR="007C6EB5" w:rsidRPr="002515E6">
        <w:rPr>
          <w:color w:val="000000" w:themeColor="text1"/>
          <w:lang w:val="uk-UA"/>
        </w:rPr>
        <w:t xml:space="preserve"> </w:t>
      </w:r>
      <w:r w:rsidR="00051EFE" w:rsidRPr="002515E6">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Pr>
          <w:color w:val="000000" w:themeColor="text1"/>
          <w:lang w:val="uk-UA"/>
        </w:rPr>
        <w:t xml:space="preserve"> </w:t>
      </w:r>
      <w:r w:rsidR="00051EFE" w:rsidRPr="00F13B90">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w:t>
      </w:r>
      <w:r w:rsidRPr="00F13B90">
        <w:rPr>
          <w:lang w:val="uk-UA" w:eastAsia="ru-RU"/>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Учасники процедури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00AC626F">
        <w:rPr>
          <w:lang w:val="uk-UA" w:eastAsia="ru-RU"/>
        </w:rPr>
        <w:t xml:space="preserve"> Надати лист-</w:t>
      </w:r>
      <w:r w:rsidR="00294235">
        <w:rPr>
          <w:lang w:val="uk-UA" w:eastAsia="ru-RU"/>
        </w:rPr>
        <w:t xml:space="preserve">підтвердження </w:t>
      </w:r>
      <w:r w:rsidR="00AC626F">
        <w:rPr>
          <w:lang w:val="uk-UA" w:eastAsia="ru-RU"/>
        </w:rPr>
        <w:t>про</w:t>
      </w:r>
      <w:r w:rsidR="0029423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Замовник перевіряє УЕП/КЕП учасника на сайті центрального засвідчувального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відхилено.</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використання слова або мовного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lastRenderedPageBreak/>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«м.київ» замість «м.Київ»;</w:t>
      </w:r>
    </w:p>
    <w:p w14:paraId="7F2E856D" w14:textId="77777777" w:rsidR="00F13B90" w:rsidRPr="00F13B90" w:rsidRDefault="00F13B90" w:rsidP="00F13B90">
      <w:pPr>
        <w:ind w:firstLine="425"/>
        <w:jc w:val="both"/>
        <w:rPr>
          <w:lang w:val="uk-UA" w:eastAsia="ru-RU"/>
        </w:rPr>
      </w:pPr>
      <w:r w:rsidRPr="00F13B90">
        <w:rPr>
          <w:lang w:val="uk-UA" w:eastAsia="ru-RU"/>
        </w:rPr>
        <w:t>- «поряд -ок» замість «поря – док»;</w:t>
      </w:r>
    </w:p>
    <w:p w14:paraId="36C19DA9" w14:textId="77777777" w:rsidR="00F13B90" w:rsidRPr="00F13B90" w:rsidRDefault="00F13B90" w:rsidP="00F13B90">
      <w:pPr>
        <w:ind w:firstLine="425"/>
        <w:jc w:val="both"/>
        <w:rPr>
          <w:lang w:val="uk-UA" w:eastAsia="ru-RU"/>
        </w:rPr>
      </w:pPr>
      <w:r w:rsidRPr="00F13B90">
        <w:rPr>
          <w:lang w:val="uk-UA" w:eastAsia="ru-RU"/>
        </w:rPr>
        <w:t>- «ненадається»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xml:space="preserve">- учасник розмістив (завантажив) документ у форматі «JPG» замість  документа у форматі «pdf» (PortableDocumentFormat)».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90480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14617"/>
    <w:rsid w:val="00337079"/>
    <w:rsid w:val="00343A9D"/>
    <w:rsid w:val="003610AC"/>
    <w:rsid w:val="003945E1"/>
    <w:rsid w:val="00406260"/>
    <w:rsid w:val="00447E2D"/>
    <w:rsid w:val="00484304"/>
    <w:rsid w:val="004F3A45"/>
    <w:rsid w:val="00555023"/>
    <w:rsid w:val="0056630C"/>
    <w:rsid w:val="005C088A"/>
    <w:rsid w:val="005D572D"/>
    <w:rsid w:val="005F4119"/>
    <w:rsid w:val="005F65FE"/>
    <w:rsid w:val="00615D4D"/>
    <w:rsid w:val="00651B07"/>
    <w:rsid w:val="00656986"/>
    <w:rsid w:val="006C633B"/>
    <w:rsid w:val="007240B8"/>
    <w:rsid w:val="007659BB"/>
    <w:rsid w:val="007A6588"/>
    <w:rsid w:val="007C6EB5"/>
    <w:rsid w:val="007C7CDD"/>
    <w:rsid w:val="008D23AF"/>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6542"/>
    <w:rsid w:val="00EF3E5B"/>
    <w:rsid w:val="00F03E3F"/>
    <w:rsid w:val="00F13B90"/>
    <w:rsid w:val="00F75119"/>
    <w:rsid w:val="00F957B1"/>
    <w:rsid w:val="00FA1978"/>
    <w:rsid w:val="00FA37FA"/>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dcterms:created xsi:type="dcterms:W3CDTF">2022-07-08T07:16:00Z</dcterms:created>
  <dcterms:modified xsi:type="dcterms:W3CDTF">2022-08-08T12:07:00Z</dcterms:modified>
</cp:coreProperties>
</file>