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49" w:rsidRPr="00CB6E6D" w:rsidRDefault="003E6649" w:rsidP="003E6649">
      <w:pPr>
        <w:jc w:val="right"/>
        <w:rPr>
          <w:rFonts w:ascii="Times New Roman" w:hAnsi="Times New Roman" w:cs="Times New Roman"/>
          <w:b/>
        </w:rPr>
      </w:pPr>
      <w:r w:rsidRPr="00CB6E6D">
        <w:rPr>
          <w:rFonts w:ascii="Times New Roman" w:hAnsi="Times New Roman" w:cs="Times New Roman"/>
          <w:b/>
        </w:rPr>
        <w:t>Додаток</w:t>
      </w:r>
      <w:bookmarkStart w:id="0" w:name="_GoBack"/>
      <w:bookmarkEnd w:id="0"/>
      <w:r w:rsidRPr="00CB6E6D">
        <w:rPr>
          <w:rFonts w:ascii="Times New Roman" w:hAnsi="Times New Roman" w:cs="Times New Roman"/>
          <w:b/>
        </w:rPr>
        <w:t xml:space="preserve">  2</w:t>
      </w:r>
    </w:p>
    <w:p w:rsidR="003E6649" w:rsidRPr="00CB6E6D" w:rsidRDefault="003E6649" w:rsidP="003E6649">
      <w:pPr>
        <w:jc w:val="right"/>
        <w:rPr>
          <w:rFonts w:ascii="Times New Roman" w:hAnsi="Times New Roman" w:cs="Times New Roman"/>
          <w:i/>
        </w:rPr>
      </w:pPr>
      <w:r w:rsidRPr="00CB6E6D">
        <w:rPr>
          <w:rFonts w:ascii="Times New Roman" w:hAnsi="Times New Roman" w:cs="Times New Roman"/>
          <w:i/>
        </w:rPr>
        <w:t xml:space="preserve">до тендерної документації </w:t>
      </w:r>
    </w:p>
    <w:p w:rsidR="003E6649" w:rsidRPr="00CB6E6D" w:rsidRDefault="003E6649" w:rsidP="003E6649">
      <w:pPr>
        <w:widowControl w:val="0"/>
        <w:ind w:firstLine="567"/>
        <w:contextualSpacing/>
        <w:jc w:val="center"/>
        <w:rPr>
          <w:rFonts w:ascii="Times New Roman" w:hAnsi="Times New Roman" w:cs="Times New Roman"/>
          <w:b/>
          <w:bCs/>
          <w:sz w:val="28"/>
          <w:szCs w:val="28"/>
        </w:rPr>
      </w:pPr>
    </w:p>
    <w:p w:rsidR="003E6649" w:rsidRPr="00CB6E6D" w:rsidRDefault="003E6649" w:rsidP="003E6649">
      <w:pPr>
        <w:autoSpaceDE w:val="0"/>
        <w:autoSpaceDN w:val="0"/>
        <w:adjustRightInd w:val="0"/>
        <w:jc w:val="center"/>
        <w:rPr>
          <w:rFonts w:ascii="Times New Roman" w:hAnsi="Times New Roman" w:cs="Times New Roman"/>
          <w:b/>
          <w:bCs/>
        </w:rPr>
      </w:pPr>
      <w:r w:rsidRPr="00CB6E6D">
        <w:rPr>
          <w:rFonts w:ascii="Times New Roman" w:hAnsi="Times New Roman" w:cs="Times New Roman"/>
          <w:b/>
        </w:rPr>
        <w:t>Технічний опис предмету закупівлі</w:t>
      </w:r>
    </w:p>
    <w:p w:rsidR="003E6649" w:rsidRPr="00CB6E6D" w:rsidRDefault="003E6649" w:rsidP="003E6649">
      <w:pPr>
        <w:autoSpaceDE w:val="0"/>
        <w:autoSpaceDN w:val="0"/>
        <w:adjustRightInd w:val="0"/>
        <w:jc w:val="center"/>
        <w:rPr>
          <w:rFonts w:ascii="Times New Roman" w:hAnsi="Times New Roman" w:cs="Times New Roman"/>
          <w:b/>
          <w:bCs/>
        </w:rPr>
      </w:pPr>
    </w:p>
    <w:p w:rsidR="003E6649" w:rsidRPr="00CB6E6D" w:rsidRDefault="003E6649" w:rsidP="003E6649">
      <w:pPr>
        <w:rPr>
          <w:rFonts w:ascii="Times New Roman" w:hAnsi="Times New Roman" w:cs="Times New Roman"/>
        </w:rPr>
      </w:pPr>
      <w:bookmarkStart w:id="1" w:name="_Hlk42594959"/>
      <w:r w:rsidRPr="00CB6E6D">
        <w:rPr>
          <w:rFonts w:ascii="Times New Roman" w:hAnsi="Times New Roman" w:cs="Times New Roman"/>
          <w:b/>
          <w:u w:val="single"/>
        </w:rPr>
        <w:t xml:space="preserve">ДК 021:2015  </w:t>
      </w:r>
      <w:r w:rsidRPr="00CB6E6D">
        <w:rPr>
          <w:rFonts w:ascii="Times New Roman" w:hAnsi="Times New Roman" w:cs="Times New Roman"/>
          <w:b/>
          <w:bCs/>
        </w:rPr>
        <w:t xml:space="preserve">«45310000-3 Електромонтажні роботи» </w:t>
      </w:r>
      <w:r w:rsidRPr="00CB6E6D">
        <w:rPr>
          <w:rFonts w:ascii="Times New Roman" w:hAnsi="Times New Roman" w:cs="Times New Roman"/>
        </w:rPr>
        <w:t xml:space="preserve">(Послуги з монтажу  системи пожежної сигналізації в ГРЩ-400 технічної споруди № 400 </w:t>
      </w:r>
      <w:proofErr w:type="spellStart"/>
      <w:r w:rsidRPr="00CB6E6D">
        <w:rPr>
          <w:rFonts w:ascii="Times New Roman" w:hAnsi="Times New Roman" w:cs="Times New Roman"/>
        </w:rPr>
        <w:t>інв</w:t>
      </w:r>
      <w:proofErr w:type="spellEnd"/>
      <w:r w:rsidRPr="00CB6E6D">
        <w:rPr>
          <w:rFonts w:ascii="Times New Roman" w:hAnsi="Times New Roman" w:cs="Times New Roman"/>
        </w:rPr>
        <w:t>. №10310073 Центру прийому і обробки спеціальної інформації та контролю навігаційного поля  32444, Хмельницька область, Кам’янець-Подільський район, с. Залісці)</w:t>
      </w:r>
    </w:p>
    <w:bookmarkEnd w:id="1"/>
    <w:p w:rsidR="003E6649" w:rsidRPr="00CB6E6D" w:rsidRDefault="003E6649" w:rsidP="003E6649">
      <w:pPr>
        <w:pStyle w:val="ad"/>
        <w:spacing w:before="0" w:line="240" w:lineRule="auto"/>
        <w:ind w:left="0" w:right="-2"/>
        <w:rPr>
          <w:rFonts w:ascii="Times New Roman" w:hAnsi="Times New Roman" w:cs="Times New Roman"/>
          <w:sz w:val="24"/>
        </w:rPr>
      </w:pPr>
    </w:p>
    <w:p w:rsidR="003E6649" w:rsidRPr="00CB6E6D" w:rsidRDefault="003E6649" w:rsidP="003E6649">
      <w:pPr>
        <w:pStyle w:val="ad"/>
        <w:spacing w:before="0" w:line="240" w:lineRule="auto"/>
        <w:ind w:left="0"/>
        <w:jc w:val="left"/>
        <w:rPr>
          <w:rFonts w:ascii="Times New Roman" w:hAnsi="Times New Roman" w:cs="Times New Roman"/>
        </w:rPr>
      </w:pPr>
      <w:r w:rsidRPr="00CB6E6D">
        <w:rPr>
          <w:rFonts w:ascii="Times New Roman" w:hAnsi="Times New Roman" w:cs="Times New Roman"/>
          <w:b w:val="0"/>
          <w:sz w:val="24"/>
        </w:rPr>
        <w:t xml:space="preserve">1. Перелік обладнання </w:t>
      </w:r>
    </w:p>
    <w:tbl>
      <w:tblPr>
        <w:tblW w:w="7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04"/>
        <w:gridCol w:w="1136"/>
        <w:gridCol w:w="1133"/>
      </w:tblGrid>
      <w:tr w:rsidR="003E6649" w:rsidRPr="00CB6E6D" w:rsidTr="00FF24B6">
        <w:trPr>
          <w:trHeight w:val="920"/>
        </w:trPr>
        <w:tc>
          <w:tcPr>
            <w:tcW w:w="540" w:type="dxa"/>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w:t>
            </w:r>
            <w:r w:rsidRPr="00CB6E6D">
              <w:rPr>
                <w:rFonts w:ascii="Times New Roman" w:hAnsi="Times New Roman" w:cs="Times New Roman"/>
              </w:rPr>
              <w:br/>
              <w:t>з/п</w:t>
            </w:r>
          </w:p>
        </w:tc>
        <w:tc>
          <w:tcPr>
            <w:tcW w:w="5004" w:type="dxa"/>
            <w:shd w:val="clear" w:color="auto" w:fill="auto"/>
            <w:noWrap/>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Найменування</w:t>
            </w:r>
          </w:p>
        </w:tc>
        <w:tc>
          <w:tcPr>
            <w:tcW w:w="1136" w:type="dxa"/>
            <w:shd w:val="clear" w:color="auto" w:fill="auto"/>
            <w:vAlign w:val="center"/>
          </w:tcPr>
          <w:p w:rsidR="003E6649" w:rsidRPr="00CB6E6D" w:rsidRDefault="003E6649" w:rsidP="00FF24B6">
            <w:pPr>
              <w:ind w:left="-108"/>
              <w:jc w:val="center"/>
              <w:rPr>
                <w:rFonts w:ascii="Times New Roman" w:hAnsi="Times New Roman" w:cs="Times New Roman"/>
              </w:rPr>
            </w:pPr>
            <w:r w:rsidRPr="00CB6E6D">
              <w:rPr>
                <w:rFonts w:ascii="Times New Roman" w:hAnsi="Times New Roman" w:cs="Times New Roman"/>
              </w:rPr>
              <w:t>Одиниця виміру</w:t>
            </w:r>
          </w:p>
        </w:tc>
        <w:tc>
          <w:tcPr>
            <w:tcW w:w="1133" w:type="dxa"/>
            <w:shd w:val="clear" w:color="auto" w:fill="auto"/>
            <w:vAlign w:val="center"/>
          </w:tcPr>
          <w:p w:rsidR="003E6649" w:rsidRPr="00CB6E6D" w:rsidRDefault="003E6649" w:rsidP="00FF24B6">
            <w:pPr>
              <w:ind w:left="-108"/>
              <w:jc w:val="center"/>
              <w:rPr>
                <w:rFonts w:ascii="Times New Roman" w:hAnsi="Times New Roman" w:cs="Times New Roman"/>
              </w:rPr>
            </w:pPr>
            <w:r w:rsidRPr="00CB6E6D">
              <w:rPr>
                <w:rFonts w:ascii="Times New Roman" w:hAnsi="Times New Roman" w:cs="Times New Roman"/>
              </w:rPr>
              <w:t>Загальна кількість</w:t>
            </w:r>
          </w:p>
        </w:tc>
      </w:tr>
      <w:tr w:rsidR="003E6649" w:rsidRPr="00CB6E6D" w:rsidTr="00FF24B6">
        <w:trPr>
          <w:trHeight w:val="300"/>
        </w:trPr>
        <w:tc>
          <w:tcPr>
            <w:tcW w:w="540" w:type="dxa"/>
            <w:shd w:val="clear" w:color="auto" w:fill="auto"/>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Блок  ППКОП «Тірас-8П»</w:t>
            </w:r>
          </w:p>
        </w:tc>
        <w:tc>
          <w:tcPr>
            <w:tcW w:w="1136"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1</w:t>
            </w:r>
          </w:p>
        </w:tc>
      </w:tr>
      <w:tr w:rsidR="003E6649" w:rsidRPr="00CB6E6D" w:rsidTr="00FF24B6">
        <w:trPr>
          <w:trHeight w:val="300"/>
        </w:trPr>
        <w:tc>
          <w:tcPr>
            <w:tcW w:w="540" w:type="dxa"/>
            <w:shd w:val="clear" w:color="auto" w:fill="auto"/>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АКБ 7А/ч  12 В</w:t>
            </w:r>
          </w:p>
        </w:tc>
        <w:tc>
          <w:tcPr>
            <w:tcW w:w="1136"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1</w:t>
            </w:r>
          </w:p>
        </w:tc>
      </w:tr>
      <w:tr w:rsidR="003E6649" w:rsidRPr="00CB6E6D" w:rsidTr="00FF24B6">
        <w:trPr>
          <w:trHeight w:val="300"/>
        </w:trPr>
        <w:tc>
          <w:tcPr>
            <w:tcW w:w="540" w:type="dxa"/>
            <w:shd w:val="clear" w:color="auto" w:fill="auto"/>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Датчик диму СПД-3.2</w:t>
            </w:r>
          </w:p>
        </w:tc>
        <w:tc>
          <w:tcPr>
            <w:tcW w:w="1136"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8</w:t>
            </w:r>
          </w:p>
        </w:tc>
      </w:tr>
      <w:tr w:rsidR="003E6649" w:rsidRPr="00CB6E6D" w:rsidTr="00FF24B6">
        <w:trPr>
          <w:trHeight w:val="300"/>
        </w:trPr>
        <w:tc>
          <w:tcPr>
            <w:tcW w:w="540" w:type="dxa"/>
            <w:shd w:val="clear" w:color="auto" w:fill="auto"/>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Табло  «Вихід»</w:t>
            </w:r>
          </w:p>
        </w:tc>
        <w:tc>
          <w:tcPr>
            <w:tcW w:w="1136"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2</w:t>
            </w:r>
          </w:p>
        </w:tc>
      </w:tr>
      <w:tr w:rsidR="003E6649" w:rsidRPr="00CB6E6D" w:rsidTr="00FF24B6">
        <w:trPr>
          <w:trHeight w:val="300"/>
        </w:trPr>
        <w:tc>
          <w:tcPr>
            <w:tcW w:w="540" w:type="dxa"/>
            <w:shd w:val="clear" w:color="auto" w:fill="auto"/>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Табло  «Пожежа»</w:t>
            </w:r>
          </w:p>
        </w:tc>
        <w:tc>
          <w:tcPr>
            <w:tcW w:w="1136"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2</w:t>
            </w:r>
          </w:p>
        </w:tc>
      </w:tr>
      <w:tr w:rsidR="003E6649" w:rsidRPr="00CB6E6D" w:rsidTr="00FF24B6">
        <w:trPr>
          <w:trHeight w:val="300"/>
        </w:trPr>
        <w:tc>
          <w:tcPr>
            <w:tcW w:w="540" w:type="dxa"/>
            <w:shd w:val="clear" w:color="auto" w:fill="auto"/>
            <w:noWrap/>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 xml:space="preserve">Кабель UTP </w:t>
            </w:r>
            <w:proofErr w:type="spellStart"/>
            <w:r w:rsidRPr="00CB6E6D">
              <w:rPr>
                <w:rFonts w:ascii="Times New Roman" w:hAnsi="Times New Roman" w:cs="Times New Roman"/>
              </w:rPr>
              <w:t>зовн</w:t>
            </w:r>
            <w:proofErr w:type="spellEnd"/>
            <w:r w:rsidRPr="00CB6E6D">
              <w:rPr>
                <w:rFonts w:ascii="Times New Roman" w:hAnsi="Times New Roman" w:cs="Times New Roman"/>
              </w:rPr>
              <w:t>.</w:t>
            </w:r>
          </w:p>
        </w:tc>
        <w:tc>
          <w:tcPr>
            <w:tcW w:w="1136"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м</w:t>
            </w:r>
          </w:p>
        </w:tc>
        <w:tc>
          <w:tcPr>
            <w:tcW w:w="1133"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100</w:t>
            </w:r>
          </w:p>
        </w:tc>
      </w:tr>
      <w:tr w:rsidR="003E6649" w:rsidRPr="00CB6E6D" w:rsidTr="00FF24B6">
        <w:trPr>
          <w:trHeight w:val="300"/>
        </w:trPr>
        <w:tc>
          <w:tcPr>
            <w:tcW w:w="540" w:type="dxa"/>
            <w:shd w:val="clear" w:color="auto" w:fill="auto"/>
            <w:noWrap/>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jc w:val="both"/>
              <w:rPr>
                <w:rFonts w:ascii="Times New Roman" w:hAnsi="Times New Roman" w:cs="Times New Roman"/>
              </w:rPr>
            </w:pPr>
            <w:r w:rsidRPr="00CB6E6D">
              <w:rPr>
                <w:rFonts w:ascii="Times New Roman" w:hAnsi="Times New Roman" w:cs="Times New Roman"/>
              </w:rPr>
              <w:t xml:space="preserve">Кабель  </w:t>
            </w:r>
            <w:proofErr w:type="spellStart"/>
            <w:r w:rsidRPr="00CB6E6D">
              <w:rPr>
                <w:rFonts w:ascii="Times New Roman" w:hAnsi="Times New Roman" w:cs="Times New Roman"/>
              </w:rPr>
              <w:t>Нг</w:t>
            </w:r>
            <w:proofErr w:type="spellEnd"/>
            <w:r w:rsidRPr="00CB6E6D">
              <w:rPr>
                <w:rFonts w:ascii="Times New Roman" w:hAnsi="Times New Roman" w:cs="Times New Roman"/>
              </w:rPr>
              <w:t xml:space="preserve"> 2х0,8</w:t>
            </w:r>
          </w:p>
        </w:tc>
        <w:tc>
          <w:tcPr>
            <w:tcW w:w="1136"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м</w:t>
            </w:r>
          </w:p>
        </w:tc>
        <w:tc>
          <w:tcPr>
            <w:tcW w:w="1133"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20</w:t>
            </w:r>
          </w:p>
        </w:tc>
      </w:tr>
      <w:tr w:rsidR="003E6649" w:rsidRPr="00CB6E6D" w:rsidTr="00FF24B6">
        <w:trPr>
          <w:trHeight w:val="300"/>
        </w:trPr>
        <w:tc>
          <w:tcPr>
            <w:tcW w:w="540" w:type="dxa"/>
            <w:shd w:val="clear" w:color="auto" w:fill="auto"/>
            <w:noWrap/>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Кабель мк-4</w:t>
            </w:r>
          </w:p>
        </w:tc>
        <w:tc>
          <w:tcPr>
            <w:tcW w:w="1136"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м</w:t>
            </w:r>
          </w:p>
        </w:tc>
        <w:tc>
          <w:tcPr>
            <w:tcW w:w="1133"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100</w:t>
            </w:r>
          </w:p>
        </w:tc>
      </w:tr>
      <w:tr w:rsidR="003E6649" w:rsidRPr="00CB6E6D" w:rsidTr="00FF24B6">
        <w:trPr>
          <w:trHeight w:val="300"/>
        </w:trPr>
        <w:tc>
          <w:tcPr>
            <w:tcW w:w="540" w:type="dxa"/>
            <w:shd w:val="clear" w:color="auto" w:fill="auto"/>
            <w:noWrap/>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jc w:val="both"/>
              <w:rPr>
                <w:rFonts w:ascii="Times New Roman" w:hAnsi="Times New Roman" w:cs="Times New Roman"/>
              </w:rPr>
            </w:pPr>
            <w:r w:rsidRPr="00CB6E6D">
              <w:rPr>
                <w:rFonts w:ascii="Times New Roman" w:hAnsi="Times New Roman" w:cs="Times New Roman"/>
              </w:rPr>
              <w:t xml:space="preserve">Монтажний </w:t>
            </w:r>
            <w:proofErr w:type="spellStart"/>
            <w:r w:rsidRPr="00CB6E6D">
              <w:rPr>
                <w:rFonts w:ascii="Times New Roman" w:hAnsi="Times New Roman" w:cs="Times New Roman"/>
              </w:rPr>
              <w:t>компл</w:t>
            </w:r>
            <w:proofErr w:type="spellEnd"/>
            <w:r w:rsidRPr="00CB6E6D">
              <w:rPr>
                <w:rFonts w:ascii="Times New Roman" w:hAnsi="Times New Roman" w:cs="Times New Roman"/>
              </w:rPr>
              <w:t>.</w:t>
            </w:r>
          </w:p>
        </w:tc>
        <w:tc>
          <w:tcPr>
            <w:tcW w:w="1136" w:type="dxa"/>
            <w:shd w:val="clear" w:color="auto" w:fill="auto"/>
            <w:noWrap/>
          </w:tcPr>
          <w:p w:rsidR="003E6649" w:rsidRPr="00CB6E6D" w:rsidRDefault="003E6649" w:rsidP="00FF24B6">
            <w:pPr>
              <w:jc w:val="center"/>
              <w:rPr>
                <w:rFonts w:ascii="Times New Roman" w:hAnsi="Times New Roman" w:cs="Times New Roman"/>
              </w:rPr>
            </w:pPr>
            <w:proofErr w:type="spellStart"/>
            <w:r w:rsidRPr="00CB6E6D">
              <w:rPr>
                <w:rFonts w:ascii="Times New Roman" w:hAnsi="Times New Roman" w:cs="Times New Roman"/>
              </w:rPr>
              <w:t>компл</w:t>
            </w:r>
            <w:proofErr w:type="spellEnd"/>
            <w:r w:rsidRPr="00CB6E6D">
              <w:rPr>
                <w:rFonts w:ascii="Times New Roman" w:hAnsi="Times New Roman" w:cs="Times New Roman"/>
              </w:rPr>
              <w:t>.</w:t>
            </w:r>
          </w:p>
        </w:tc>
        <w:tc>
          <w:tcPr>
            <w:tcW w:w="1133"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1</w:t>
            </w:r>
          </w:p>
        </w:tc>
      </w:tr>
      <w:tr w:rsidR="003E6649" w:rsidRPr="00CB6E6D" w:rsidTr="00FF24B6">
        <w:trPr>
          <w:trHeight w:val="300"/>
        </w:trPr>
        <w:tc>
          <w:tcPr>
            <w:tcW w:w="540" w:type="dxa"/>
            <w:shd w:val="clear" w:color="auto" w:fill="auto"/>
            <w:noWrap/>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jc w:val="both"/>
              <w:rPr>
                <w:rFonts w:ascii="Times New Roman" w:hAnsi="Times New Roman" w:cs="Times New Roman"/>
              </w:rPr>
            </w:pPr>
            <w:proofErr w:type="spellStart"/>
            <w:r w:rsidRPr="00CB6E6D">
              <w:rPr>
                <w:rFonts w:ascii="Times New Roman" w:hAnsi="Times New Roman" w:cs="Times New Roman"/>
              </w:rPr>
              <w:t>Світозвуковий</w:t>
            </w:r>
            <w:proofErr w:type="spellEnd"/>
            <w:r w:rsidRPr="00CB6E6D">
              <w:rPr>
                <w:rFonts w:ascii="Times New Roman" w:hAnsi="Times New Roman" w:cs="Times New Roman"/>
              </w:rPr>
              <w:t xml:space="preserve"> оповіщувач  СЗО Джміль</w:t>
            </w:r>
          </w:p>
        </w:tc>
        <w:tc>
          <w:tcPr>
            <w:tcW w:w="1136"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1</w:t>
            </w:r>
          </w:p>
        </w:tc>
      </w:tr>
      <w:tr w:rsidR="003E6649" w:rsidRPr="00CB6E6D" w:rsidTr="00FF24B6">
        <w:trPr>
          <w:trHeight w:val="300"/>
        </w:trPr>
        <w:tc>
          <w:tcPr>
            <w:tcW w:w="540" w:type="dxa"/>
            <w:shd w:val="clear" w:color="auto" w:fill="auto"/>
            <w:noWrap/>
            <w:vAlign w:val="center"/>
          </w:tcPr>
          <w:p w:rsidR="003E6649" w:rsidRPr="00CB6E6D" w:rsidRDefault="003E6649" w:rsidP="003E6649">
            <w:pPr>
              <w:numPr>
                <w:ilvl w:val="0"/>
                <w:numId w:val="3"/>
              </w:numPr>
              <w:spacing w:line="240" w:lineRule="auto"/>
              <w:ind w:left="0" w:firstLine="0"/>
              <w:jc w:val="center"/>
              <w:rPr>
                <w:rFonts w:ascii="Times New Roman" w:hAnsi="Times New Roman" w:cs="Times New Roman"/>
              </w:rPr>
            </w:pPr>
          </w:p>
        </w:tc>
        <w:tc>
          <w:tcPr>
            <w:tcW w:w="5004" w:type="dxa"/>
            <w:shd w:val="clear" w:color="auto" w:fill="auto"/>
            <w:noWrap/>
          </w:tcPr>
          <w:p w:rsidR="003E6649" w:rsidRPr="00CB6E6D" w:rsidRDefault="003E6649" w:rsidP="00FF24B6">
            <w:pPr>
              <w:jc w:val="both"/>
              <w:rPr>
                <w:rFonts w:ascii="Times New Roman" w:hAnsi="Times New Roman" w:cs="Times New Roman"/>
              </w:rPr>
            </w:pPr>
            <w:r w:rsidRPr="00CB6E6D">
              <w:rPr>
                <w:rFonts w:ascii="Times New Roman" w:hAnsi="Times New Roman" w:cs="Times New Roman"/>
              </w:rPr>
              <w:t xml:space="preserve">Сповіщувач </w:t>
            </w:r>
            <w:proofErr w:type="spellStart"/>
            <w:r w:rsidRPr="00CB6E6D">
              <w:rPr>
                <w:rFonts w:ascii="Times New Roman" w:hAnsi="Times New Roman" w:cs="Times New Roman"/>
              </w:rPr>
              <w:t>пож</w:t>
            </w:r>
            <w:proofErr w:type="spellEnd"/>
            <w:r w:rsidRPr="00CB6E6D">
              <w:rPr>
                <w:rFonts w:ascii="Times New Roman" w:hAnsi="Times New Roman" w:cs="Times New Roman"/>
              </w:rPr>
              <w:t>. ручний  SPR-1</w:t>
            </w:r>
          </w:p>
        </w:tc>
        <w:tc>
          <w:tcPr>
            <w:tcW w:w="1136"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shd w:val="clear" w:color="auto" w:fill="auto"/>
            <w:noWrap/>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2</w:t>
            </w:r>
          </w:p>
        </w:tc>
      </w:tr>
    </w:tbl>
    <w:p w:rsidR="003E6649" w:rsidRPr="00CB6E6D" w:rsidRDefault="003E6649" w:rsidP="003E6649">
      <w:pPr>
        <w:rPr>
          <w:rFonts w:ascii="Times New Roman" w:hAnsi="Times New Roman" w:cs="Times New Roman"/>
        </w:rPr>
      </w:pPr>
    </w:p>
    <w:p w:rsidR="003E6649" w:rsidRPr="00CB6E6D" w:rsidRDefault="003E6649" w:rsidP="003E6649">
      <w:pPr>
        <w:rPr>
          <w:rFonts w:ascii="Times New Roman" w:hAnsi="Times New Roman" w:cs="Times New Roman"/>
        </w:rPr>
      </w:pPr>
      <w:r w:rsidRPr="00CB6E6D">
        <w:rPr>
          <w:rFonts w:ascii="Times New Roman" w:hAnsi="Times New Roman" w:cs="Times New Roman"/>
        </w:rPr>
        <w:t>2. Перелік робіт</w:t>
      </w:r>
    </w:p>
    <w:tbl>
      <w:tblPr>
        <w:tblW w:w="7813" w:type="dxa"/>
        <w:tblInd w:w="93" w:type="dxa"/>
        <w:tblLook w:val="0000" w:firstRow="0" w:lastRow="0" w:firstColumn="0" w:lastColumn="0" w:noHBand="0" w:noVBand="0"/>
      </w:tblPr>
      <w:tblGrid>
        <w:gridCol w:w="540"/>
        <w:gridCol w:w="5004"/>
        <w:gridCol w:w="1136"/>
        <w:gridCol w:w="1133"/>
      </w:tblGrid>
      <w:tr w:rsidR="003E6649" w:rsidRPr="00CB6E6D" w:rsidTr="00FF24B6">
        <w:trPr>
          <w:trHeight w:val="920"/>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w:t>
            </w:r>
            <w:r w:rsidRPr="00CB6E6D">
              <w:rPr>
                <w:rFonts w:ascii="Times New Roman" w:hAnsi="Times New Roman" w:cs="Times New Roman"/>
              </w:rPr>
              <w:br/>
              <w:t>з/п</w:t>
            </w:r>
          </w:p>
        </w:tc>
        <w:tc>
          <w:tcPr>
            <w:tcW w:w="500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 xml:space="preserve">Найменування </w:t>
            </w:r>
          </w:p>
        </w:tc>
        <w:tc>
          <w:tcPr>
            <w:tcW w:w="1136" w:type="dxa"/>
            <w:tcBorders>
              <w:top w:val="single" w:sz="4" w:space="0" w:color="auto"/>
              <w:left w:val="single" w:sz="4" w:space="0" w:color="auto"/>
              <w:bottom w:val="single" w:sz="4" w:space="0" w:color="000000"/>
              <w:right w:val="single" w:sz="4" w:space="0" w:color="auto"/>
            </w:tcBorders>
            <w:shd w:val="clear" w:color="auto" w:fill="auto"/>
            <w:vAlign w:val="center"/>
          </w:tcPr>
          <w:p w:rsidR="003E6649" w:rsidRPr="00CB6E6D" w:rsidRDefault="003E6649" w:rsidP="00FF24B6">
            <w:pPr>
              <w:ind w:left="-108"/>
              <w:jc w:val="center"/>
              <w:rPr>
                <w:rFonts w:ascii="Times New Roman" w:hAnsi="Times New Roman" w:cs="Times New Roman"/>
              </w:rPr>
            </w:pPr>
            <w:r w:rsidRPr="00CB6E6D">
              <w:rPr>
                <w:rFonts w:ascii="Times New Roman" w:hAnsi="Times New Roman" w:cs="Times New Roman"/>
              </w:rPr>
              <w:t>Одиниця виміру</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rsidR="003E6649" w:rsidRPr="00CB6E6D" w:rsidRDefault="003E6649" w:rsidP="00FF24B6">
            <w:pPr>
              <w:ind w:left="-108"/>
              <w:jc w:val="center"/>
              <w:rPr>
                <w:rFonts w:ascii="Times New Roman" w:hAnsi="Times New Roman" w:cs="Times New Roman"/>
              </w:rPr>
            </w:pPr>
            <w:r w:rsidRPr="00CB6E6D">
              <w:rPr>
                <w:rFonts w:ascii="Times New Roman" w:hAnsi="Times New Roman" w:cs="Times New Roman"/>
              </w:rPr>
              <w:t>Загальна кількість</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Монтаж блоку  ППКОП «Тірас-8П»</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1</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Монтаж АКБ 7А/ч  12 В</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1</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Монтаж датчиків диму СПД-3.2</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8</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Монтаж табло  «Вихід» та  «Пожежа»</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4</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Монтаж СЗО «Джміль»</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1</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 xml:space="preserve">Монтаж сповіщувача  </w:t>
            </w:r>
            <w:r w:rsidRPr="00CB6E6D">
              <w:rPr>
                <w:rFonts w:ascii="Times New Roman" w:hAnsi="Times New Roman" w:cs="Times New Roman"/>
                <w:lang w:val="en-US"/>
              </w:rPr>
              <w:t>SPR</w:t>
            </w:r>
            <w:r w:rsidRPr="00CB6E6D">
              <w:rPr>
                <w:rFonts w:ascii="Times New Roman" w:hAnsi="Times New Roman" w:cs="Times New Roman"/>
              </w:rPr>
              <w:t xml:space="preserve">-1 </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шт.</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lang w:val="en-US"/>
              </w:rPr>
            </w:pPr>
            <w:r w:rsidRPr="00CB6E6D">
              <w:rPr>
                <w:rFonts w:ascii="Times New Roman" w:hAnsi="Times New Roman" w:cs="Times New Roman"/>
                <w:color w:val="000000"/>
                <w:lang w:val="en-US"/>
              </w:rPr>
              <w:t>2</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r w:rsidRPr="00CB6E6D">
              <w:rPr>
                <w:rFonts w:ascii="Times New Roman" w:hAnsi="Times New Roman" w:cs="Times New Roman"/>
              </w:rPr>
              <w:t>Монтаж кабельної мережі</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r w:rsidRPr="00CB6E6D">
              <w:rPr>
                <w:rFonts w:ascii="Times New Roman" w:hAnsi="Times New Roman" w:cs="Times New Roman"/>
              </w:rPr>
              <w:t>м</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220</w:t>
            </w:r>
          </w:p>
        </w:tc>
      </w:tr>
      <w:tr w:rsidR="003E6649" w:rsidRPr="00CB6E6D" w:rsidTr="00FF24B6">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3E6649" w:rsidRPr="00CB6E6D" w:rsidRDefault="003E6649" w:rsidP="003E6649">
            <w:pPr>
              <w:numPr>
                <w:ilvl w:val="0"/>
                <w:numId w:val="2"/>
              </w:numPr>
              <w:spacing w:line="240" w:lineRule="auto"/>
              <w:ind w:left="0" w:firstLine="0"/>
              <w:jc w:val="center"/>
              <w:rPr>
                <w:rFonts w:ascii="Times New Roman" w:hAnsi="Times New Roman" w:cs="Times New Roman"/>
              </w:rPr>
            </w:pPr>
          </w:p>
        </w:tc>
        <w:tc>
          <w:tcPr>
            <w:tcW w:w="5004" w:type="dxa"/>
            <w:tcBorders>
              <w:top w:val="nil"/>
              <w:left w:val="nil"/>
              <w:bottom w:val="single" w:sz="4" w:space="0" w:color="auto"/>
              <w:right w:val="single" w:sz="4" w:space="0" w:color="auto"/>
            </w:tcBorders>
            <w:shd w:val="clear" w:color="auto" w:fill="auto"/>
            <w:noWrap/>
          </w:tcPr>
          <w:p w:rsidR="003E6649" w:rsidRPr="00CB6E6D" w:rsidRDefault="003E6649" w:rsidP="00FF24B6">
            <w:pPr>
              <w:rPr>
                <w:rFonts w:ascii="Times New Roman" w:hAnsi="Times New Roman" w:cs="Times New Roman"/>
              </w:rPr>
            </w:pPr>
            <w:proofErr w:type="spellStart"/>
            <w:r w:rsidRPr="00CB6E6D">
              <w:rPr>
                <w:rFonts w:ascii="Times New Roman" w:hAnsi="Times New Roman" w:cs="Times New Roman"/>
              </w:rPr>
              <w:t>Пуско</w:t>
            </w:r>
            <w:proofErr w:type="spellEnd"/>
            <w:r w:rsidRPr="00CB6E6D">
              <w:rPr>
                <w:rFonts w:ascii="Times New Roman" w:hAnsi="Times New Roman" w:cs="Times New Roman"/>
              </w:rPr>
              <w:t>-налагоджувальні роботи</w:t>
            </w:r>
            <w:r w:rsidRPr="00CB6E6D">
              <w:rPr>
                <w:rFonts w:ascii="Times New Roman" w:hAnsi="Times New Roman" w:cs="Times New Roman"/>
                <w:b/>
                <w:i/>
              </w:rPr>
              <w:t xml:space="preserve">  </w:t>
            </w:r>
            <w:r w:rsidRPr="00CB6E6D">
              <w:rPr>
                <w:rFonts w:ascii="Times New Roman" w:hAnsi="Times New Roman" w:cs="Times New Roman"/>
              </w:rPr>
              <w:t>(налаштування системи, тестування  )</w:t>
            </w:r>
          </w:p>
        </w:tc>
        <w:tc>
          <w:tcPr>
            <w:tcW w:w="1136"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rPr>
            </w:pPr>
            <w:proofErr w:type="spellStart"/>
            <w:r w:rsidRPr="00CB6E6D">
              <w:rPr>
                <w:rFonts w:ascii="Times New Roman" w:hAnsi="Times New Roman" w:cs="Times New Roman"/>
              </w:rPr>
              <w:t>сист</w:t>
            </w:r>
            <w:proofErr w:type="spellEnd"/>
            <w:r w:rsidRPr="00CB6E6D">
              <w:rPr>
                <w:rFonts w:ascii="Times New Roman" w:hAnsi="Times New Roman" w:cs="Times New Roman"/>
              </w:rPr>
              <w:t>.</w:t>
            </w:r>
          </w:p>
        </w:tc>
        <w:tc>
          <w:tcPr>
            <w:tcW w:w="1133" w:type="dxa"/>
            <w:tcBorders>
              <w:top w:val="nil"/>
              <w:left w:val="nil"/>
              <w:bottom w:val="single" w:sz="4" w:space="0" w:color="auto"/>
              <w:right w:val="single" w:sz="4" w:space="0" w:color="auto"/>
            </w:tcBorders>
            <w:shd w:val="clear" w:color="auto" w:fill="auto"/>
            <w:vAlign w:val="center"/>
          </w:tcPr>
          <w:p w:rsidR="003E6649" w:rsidRPr="00CB6E6D" w:rsidRDefault="003E6649" w:rsidP="00FF24B6">
            <w:pPr>
              <w:jc w:val="center"/>
              <w:rPr>
                <w:rFonts w:ascii="Times New Roman" w:hAnsi="Times New Roman" w:cs="Times New Roman"/>
                <w:color w:val="000000"/>
              </w:rPr>
            </w:pPr>
            <w:r w:rsidRPr="00CB6E6D">
              <w:rPr>
                <w:rFonts w:ascii="Times New Roman" w:hAnsi="Times New Roman" w:cs="Times New Roman"/>
                <w:color w:val="000000"/>
              </w:rPr>
              <w:t>1</w:t>
            </w:r>
          </w:p>
        </w:tc>
      </w:tr>
    </w:tbl>
    <w:p w:rsidR="003E6649" w:rsidRPr="00CB6E6D" w:rsidRDefault="003E6649" w:rsidP="003E6649">
      <w:pPr>
        <w:rPr>
          <w:rFonts w:ascii="Times New Roman" w:hAnsi="Times New Roman" w:cs="Times New Roman"/>
        </w:rPr>
      </w:pPr>
      <w:r w:rsidRPr="00CB6E6D">
        <w:rPr>
          <w:rFonts w:ascii="Times New Roman" w:hAnsi="Times New Roman" w:cs="Times New Roman"/>
        </w:rPr>
        <w:t xml:space="preserve">  </w:t>
      </w:r>
      <w:r w:rsidRPr="00CB6E6D">
        <w:rPr>
          <w:rFonts w:ascii="Times New Roman" w:hAnsi="Times New Roman" w:cs="Times New Roman"/>
        </w:rPr>
        <w:tab/>
      </w:r>
      <w:r w:rsidRPr="00CB6E6D">
        <w:rPr>
          <w:rFonts w:ascii="Times New Roman" w:hAnsi="Times New Roman" w:cs="Times New Roman"/>
        </w:rPr>
        <w:tab/>
        <w:t xml:space="preserve">                                </w:t>
      </w:r>
    </w:p>
    <w:p w:rsidR="003E6649" w:rsidRPr="00CB6E6D" w:rsidRDefault="003E6649" w:rsidP="003E6649">
      <w:pPr>
        <w:pStyle w:val="ab"/>
        <w:suppressAutoHyphens/>
        <w:spacing w:after="0" w:line="240" w:lineRule="auto"/>
        <w:ind w:left="360"/>
        <w:jc w:val="both"/>
        <w:rPr>
          <w:rFonts w:ascii="Times New Roman" w:hAnsi="Times New Roman" w:cs="Times New Roman"/>
          <w:sz w:val="24"/>
          <w:szCs w:val="24"/>
        </w:rPr>
      </w:pPr>
    </w:p>
    <w:p w:rsidR="003E6649" w:rsidRPr="00CB6E6D" w:rsidRDefault="003E6649" w:rsidP="003E6649">
      <w:pPr>
        <w:jc w:val="both"/>
        <w:rPr>
          <w:rFonts w:ascii="Times New Roman" w:hAnsi="Times New Roman" w:cs="Times New Roman"/>
        </w:rPr>
      </w:pP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3. Після монтажу обладнання необхідно обов’язково провести пусконалагоджувальні роботи всіх систем.</w:t>
      </w:r>
    </w:p>
    <w:p w:rsidR="003E6649" w:rsidRPr="00CB6E6D" w:rsidRDefault="003E6649" w:rsidP="003E6649">
      <w:pPr>
        <w:suppressAutoHyphens/>
        <w:jc w:val="both"/>
        <w:rPr>
          <w:rFonts w:ascii="Times New Roman" w:eastAsia="SimSun" w:hAnsi="Times New Roman" w:cs="Times New Roman"/>
          <w:kern w:val="2"/>
          <w:lang w:eastAsia="zh-CN"/>
        </w:rPr>
      </w:pPr>
      <w:r w:rsidRPr="00CB6E6D">
        <w:rPr>
          <w:rFonts w:ascii="Times New Roman" w:hAnsi="Times New Roman" w:cs="Times New Roman"/>
        </w:rPr>
        <w:lastRenderedPageBreak/>
        <w:t>4.</w:t>
      </w:r>
      <w:r w:rsidRPr="00CB6E6D">
        <w:rPr>
          <w:rFonts w:ascii="Times New Roman" w:hAnsi="Times New Roman" w:cs="Times New Roman"/>
          <w:color w:val="000000"/>
          <w:lang w:eastAsia="ar-SA"/>
        </w:rPr>
        <w:t xml:space="preserve"> Монтаж обладнання і </w:t>
      </w:r>
      <w:proofErr w:type="spellStart"/>
      <w:r w:rsidRPr="00CB6E6D">
        <w:rPr>
          <w:rFonts w:ascii="Times New Roman" w:hAnsi="Times New Roman" w:cs="Times New Roman"/>
          <w:color w:val="000000"/>
          <w:lang w:eastAsia="ar-SA"/>
        </w:rPr>
        <w:t>пуско</w:t>
      </w:r>
      <w:proofErr w:type="spellEnd"/>
      <w:r w:rsidRPr="00CB6E6D">
        <w:rPr>
          <w:rFonts w:ascii="Times New Roman" w:hAnsi="Times New Roman" w:cs="Times New Roman"/>
          <w:color w:val="000000"/>
          <w:lang w:eastAsia="ar-SA"/>
        </w:rPr>
        <w:t xml:space="preserve">-налагоджувальні роботи системи пожежної сигналізації повинні проводитись у відповідності із кошторисом, технічними вимогами, будівельними нормами і правилами. </w:t>
      </w:r>
      <w:r w:rsidRPr="00CB6E6D">
        <w:rPr>
          <w:rFonts w:ascii="Times New Roman" w:hAnsi="Times New Roman" w:cs="Times New Roman"/>
        </w:rPr>
        <w:t xml:space="preserve"> </w:t>
      </w:r>
    </w:p>
    <w:p w:rsidR="003E6649" w:rsidRPr="00CB6E6D" w:rsidRDefault="003E6649" w:rsidP="003E6649">
      <w:pPr>
        <w:shd w:val="clear" w:color="auto" w:fill="FFFFFF"/>
        <w:suppressAutoHyphens/>
        <w:jc w:val="both"/>
        <w:outlineLvl w:val="0"/>
        <w:rPr>
          <w:rFonts w:ascii="Times New Roman" w:hAnsi="Times New Roman" w:cs="Times New Roman"/>
        </w:rPr>
      </w:pPr>
      <w:r w:rsidRPr="00CB6E6D">
        <w:rPr>
          <w:rFonts w:ascii="Times New Roman" w:hAnsi="Times New Roman" w:cs="Times New Roman"/>
          <w:color w:val="000000"/>
          <w:lang w:eastAsia="ar-SA"/>
        </w:rPr>
        <w:t xml:space="preserve">5. </w:t>
      </w:r>
      <w:r w:rsidRPr="00CB6E6D">
        <w:rPr>
          <w:rFonts w:ascii="Times New Roman" w:hAnsi="Times New Roman" w:cs="Times New Roman"/>
        </w:rPr>
        <w:t xml:space="preserve">Комплекс технічних засобів системи пожежної сигналізації та системи оповіщення про пожежу повинен бути розрахований на цілодобову роботу, надійно забезпечувати контроль стану охоронних зон, забезпечувати гарантійне виявлення ранніх ознак горіння та видавати сигнал сповіщення. </w:t>
      </w:r>
    </w:p>
    <w:p w:rsidR="003E6649" w:rsidRPr="00CB6E6D" w:rsidRDefault="003E6649" w:rsidP="003E6649">
      <w:pPr>
        <w:shd w:val="clear" w:color="auto" w:fill="FFFFFF"/>
        <w:suppressAutoHyphens/>
        <w:jc w:val="both"/>
        <w:outlineLvl w:val="0"/>
        <w:rPr>
          <w:rFonts w:ascii="Times New Roman" w:hAnsi="Times New Roman" w:cs="Times New Roman"/>
        </w:rPr>
      </w:pPr>
      <w:r w:rsidRPr="00CB6E6D">
        <w:rPr>
          <w:rFonts w:ascii="Times New Roman" w:hAnsi="Times New Roman" w:cs="Times New Roman"/>
        </w:rPr>
        <w:t>6. Джерела безперебійного живлення, при відключенні основного живлення (220 В), повинні забезпечувати роботу всієї системи в черговому режимі не менше 24 годин та  3 години в режимі «Пожежа».</w:t>
      </w:r>
    </w:p>
    <w:p w:rsidR="003E6649" w:rsidRPr="00CB6E6D" w:rsidRDefault="003E6649" w:rsidP="003E6649">
      <w:pPr>
        <w:shd w:val="clear" w:color="auto" w:fill="FFFFFF"/>
        <w:suppressAutoHyphens/>
        <w:jc w:val="both"/>
        <w:outlineLvl w:val="0"/>
        <w:rPr>
          <w:rFonts w:ascii="Times New Roman" w:hAnsi="Times New Roman" w:cs="Times New Roman"/>
          <w:color w:val="000000"/>
          <w:lang w:eastAsia="ar-SA"/>
        </w:rPr>
      </w:pPr>
      <w:r w:rsidRPr="00CB6E6D">
        <w:rPr>
          <w:rFonts w:ascii="Times New Roman" w:hAnsi="Times New Roman" w:cs="Times New Roman"/>
        </w:rPr>
        <w:t>7.</w:t>
      </w:r>
      <w:r w:rsidRPr="00CB6E6D">
        <w:rPr>
          <w:rFonts w:ascii="Times New Roman" w:hAnsi="Times New Roman" w:cs="Times New Roman"/>
          <w:color w:val="000000"/>
          <w:lang w:eastAsia="ar-SA"/>
        </w:rPr>
        <w:t xml:space="preserve"> Усі матеріали і устаткування повинні  мати сертифікати, що діють на території України. Технічні характеристики устаткування і матеріалів мають бути підтверджені в паспортах, інструкціях або керівництві по експлуатації на це устаткування.</w:t>
      </w:r>
    </w:p>
    <w:p w:rsidR="003E6649" w:rsidRPr="00CB6E6D" w:rsidRDefault="003E6649" w:rsidP="003E6649">
      <w:pPr>
        <w:autoSpaceDE w:val="0"/>
        <w:autoSpaceDN w:val="0"/>
        <w:adjustRightInd w:val="0"/>
        <w:jc w:val="both"/>
        <w:rPr>
          <w:rFonts w:ascii="Times New Roman" w:hAnsi="Times New Roman" w:cs="Times New Roman"/>
        </w:rPr>
      </w:pPr>
      <w:r w:rsidRPr="00CB6E6D">
        <w:rPr>
          <w:rFonts w:ascii="Times New Roman" w:hAnsi="Times New Roman" w:cs="Times New Roman"/>
          <w:color w:val="000000"/>
          <w:lang w:eastAsia="ar-SA"/>
        </w:rPr>
        <w:t xml:space="preserve">8. </w:t>
      </w:r>
      <w:r w:rsidRPr="00CB6E6D">
        <w:rPr>
          <w:rFonts w:ascii="Times New Roman" w:hAnsi="Times New Roman" w:cs="Times New Roman"/>
        </w:rPr>
        <w:t xml:space="preserve">Обладнання повинно бути новим, таким, що не було в експлуатації. </w:t>
      </w:r>
      <w:r w:rsidRPr="00CB6E6D">
        <w:rPr>
          <w:rFonts w:ascii="Times New Roman" w:hAnsi="Times New Roman" w:cs="Times New Roman"/>
          <w:shd w:val="clear" w:color="auto" w:fill="FFFFFF"/>
        </w:rPr>
        <w:t>При виявленні недоліків (дефектів) обладнання Учасник зобов’язується усунути недоліки (дефекти) або замінити неякісне обладнання обладнанням належної якості за свій рахунок протягом 5 днів з моменту отримання письмового повідомлення Замовника про виявлені недоліки (дефекти).</w:t>
      </w: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9. Оплата за виконані послуги здійснюється згідно актів наданих послуг.</w:t>
      </w: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10. Учасник надає разом з ціновою пропозицією підписаний кошторис,  всі необхідні дозволи, ліцензії на право проведення даних робіт, сертифікати на послуги (завірені належним чином копії).</w:t>
      </w: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11. По закінченню виконання послуг має надати акт перевірки відповідності змонтованої системи та інші документи, необхідні для подальшої експлуатації системи оповіщення про пожежу.</w:t>
      </w: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12. Гарантія на систему пожежної сигналізації, систему оповіщення про пожежу, повинна складати не менше 1 року про що надається гарантійний лист.</w:t>
      </w: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13. При виконанні послуг дотримуватися вимог правил пожежної безпеки і техніки безпеки. За порушення вимог цих правил відповідальність несе виконавець послуг.</w:t>
      </w:r>
    </w:p>
    <w:p w:rsidR="003E6649" w:rsidRPr="00CB6E6D" w:rsidRDefault="003E6649" w:rsidP="003E6649">
      <w:pPr>
        <w:jc w:val="both"/>
        <w:rPr>
          <w:rFonts w:ascii="Times New Roman" w:hAnsi="Times New Roman" w:cs="Times New Roman"/>
        </w:rPr>
      </w:pPr>
      <w:r w:rsidRPr="00CB6E6D">
        <w:rPr>
          <w:rFonts w:ascii="Times New Roman" w:hAnsi="Times New Roman" w:cs="Times New Roman"/>
        </w:rPr>
        <w:t>14. Учасник повинен надати Лист-гарантію про відповідність пропозиції Учасника технічним та якісним вимогам Замовника та заповнений кошторис надання послуг.</w:t>
      </w:r>
    </w:p>
    <w:p w:rsidR="003E6649" w:rsidRPr="00CB6E6D" w:rsidRDefault="003E6649" w:rsidP="003E6649">
      <w:pPr>
        <w:jc w:val="both"/>
        <w:rPr>
          <w:rFonts w:ascii="Times New Roman" w:hAnsi="Times New Roman" w:cs="Times New Roman"/>
          <w:bCs/>
        </w:rPr>
      </w:pPr>
      <w:r w:rsidRPr="00CB6E6D">
        <w:rPr>
          <w:rFonts w:ascii="Times New Roman" w:hAnsi="Times New Roman" w:cs="Times New Roman"/>
          <w:bCs/>
        </w:rPr>
        <w:t>15. Всі роботи і розрахунки мають виконуватись згідно затвердженого проекту Замовника. Сканована копія проекту плану системи пожежної сигналізації ГРЩ-400 додається.</w:t>
      </w:r>
    </w:p>
    <w:p w:rsidR="003E6649" w:rsidRPr="00CB6E6D" w:rsidRDefault="003E6649" w:rsidP="003E6649">
      <w:pPr>
        <w:jc w:val="both"/>
        <w:rPr>
          <w:rFonts w:ascii="Times New Roman" w:hAnsi="Times New Roman" w:cs="Times New Roman"/>
          <w:b/>
          <w:bCs/>
        </w:rPr>
      </w:pPr>
      <w:r w:rsidRPr="00CB6E6D">
        <w:rPr>
          <w:rFonts w:ascii="Times New Roman" w:hAnsi="Times New Roman" w:cs="Times New Roman"/>
          <w:b/>
          <w:bCs/>
        </w:rPr>
        <w:t xml:space="preserve">16.  Учаснику </w:t>
      </w:r>
      <w:r w:rsidRPr="00CB6E6D">
        <w:rPr>
          <w:rFonts w:ascii="Times New Roman" w:hAnsi="Times New Roman" w:cs="Times New Roman"/>
          <w:b/>
          <w:bCs/>
          <w:color w:val="FF0000"/>
          <w:sz w:val="28"/>
          <w:szCs w:val="28"/>
        </w:rPr>
        <w:t>рекомендується</w:t>
      </w:r>
      <w:r w:rsidRPr="00CB6E6D">
        <w:rPr>
          <w:rFonts w:ascii="Times New Roman" w:hAnsi="Times New Roman" w:cs="Times New Roman"/>
          <w:b/>
          <w:bCs/>
          <w:color w:val="FF0000"/>
        </w:rPr>
        <w:t xml:space="preserve"> </w:t>
      </w:r>
      <w:r w:rsidRPr="00CB6E6D">
        <w:rPr>
          <w:rFonts w:ascii="Times New Roman" w:hAnsi="Times New Roman" w:cs="Times New Roman"/>
          <w:b/>
          <w:bCs/>
        </w:rPr>
        <w:t>до подання пропозиції ознайомитись з об’єктом та обсягом робіт на території Замовника.</w:t>
      </w:r>
    </w:p>
    <w:p w:rsidR="003E6649" w:rsidRPr="00CB6E6D" w:rsidRDefault="003E6649" w:rsidP="003E6649">
      <w:pPr>
        <w:ind w:firstLine="284"/>
        <w:jc w:val="both"/>
        <w:rPr>
          <w:rFonts w:ascii="Times New Roman" w:hAnsi="Times New Roman" w:cs="Times New Roman"/>
          <w:i/>
          <w:iCs/>
          <w:spacing w:val="-3"/>
        </w:rPr>
      </w:pPr>
    </w:p>
    <w:p w:rsidR="003E6649" w:rsidRPr="00CB6E6D" w:rsidRDefault="003E6649" w:rsidP="003E6649">
      <w:pPr>
        <w:ind w:firstLine="284"/>
        <w:jc w:val="both"/>
        <w:rPr>
          <w:rFonts w:ascii="Times New Roman" w:hAnsi="Times New Roman" w:cs="Times New Roman"/>
          <w:i/>
          <w:iCs/>
          <w:spacing w:val="-3"/>
        </w:rPr>
      </w:pPr>
      <w:r w:rsidRPr="00CB6E6D">
        <w:rPr>
          <w:rFonts w:ascii="Times New Roman" w:hAnsi="Times New Roman" w:cs="Times New Roman"/>
          <w:i/>
          <w:iCs/>
          <w:spacing w:val="-3"/>
        </w:rPr>
        <w:t xml:space="preserve">Примітка: -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w:t>
      </w:r>
      <w:r w:rsidRPr="00CB6E6D">
        <w:rPr>
          <w:rFonts w:ascii="Times New Roman" w:hAnsi="Times New Roman" w:cs="Times New Roman"/>
          <w:bCs/>
          <w:i/>
          <w:iCs/>
          <w:spacing w:val="-3"/>
        </w:rPr>
        <w:t>(або еквівалент)</w:t>
      </w:r>
      <w:r w:rsidRPr="00CB6E6D">
        <w:rPr>
          <w:rFonts w:ascii="Times New Roman" w:hAnsi="Times New Roman" w:cs="Times New Roman"/>
          <w:i/>
          <w:iCs/>
          <w:spacing w:val="-3"/>
        </w:rPr>
        <w:t>.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rsidR="00CB6E6D" w:rsidRPr="00CB6E6D" w:rsidRDefault="00CB6E6D" w:rsidP="00166C45">
      <w:pPr>
        <w:pStyle w:val="10"/>
        <w:spacing w:line="240" w:lineRule="auto"/>
        <w:jc w:val="both"/>
        <w:rPr>
          <w:rFonts w:ascii="Times New Roman" w:eastAsia="Times New Roman" w:hAnsi="Times New Roman" w:cs="Times New Roman"/>
          <w:sz w:val="24"/>
          <w:szCs w:val="24"/>
        </w:rPr>
      </w:pPr>
    </w:p>
    <w:sectPr w:rsidR="00CB6E6D" w:rsidRPr="00CB6E6D" w:rsidSect="00EC19F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919"/>
    <w:multiLevelType w:val="hybridMultilevel"/>
    <w:tmpl w:val="4BA08C22"/>
    <w:lvl w:ilvl="0" w:tplc="57DE6A7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350242"/>
    <w:multiLevelType w:val="hybridMultilevel"/>
    <w:tmpl w:val="4AFE8710"/>
    <w:lvl w:ilvl="0" w:tplc="335E00D6">
      <w:start w:val="1"/>
      <w:numFmt w:val="decimal"/>
      <w:lvlText w:val="%1."/>
      <w:lvlJc w:val="left"/>
      <w:pPr>
        <w:ind w:left="1220" w:hanging="360"/>
      </w:pPr>
      <w:rPr>
        <w:rFonts w:hint="default"/>
      </w:rPr>
    </w:lvl>
    <w:lvl w:ilvl="1" w:tplc="20000019" w:tentative="1">
      <w:start w:val="1"/>
      <w:numFmt w:val="lowerLetter"/>
      <w:lvlText w:val="%2."/>
      <w:lvlJc w:val="left"/>
      <w:pPr>
        <w:ind w:left="1940" w:hanging="360"/>
      </w:pPr>
    </w:lvl>
    <w:lvl w:ilvl="2" w:tplc="2000001B" w:tentative="1">
      <w:start w:val="1"/>
      <w:numFmt w:val="lowerRoman"/>
      <w:lvlText w:val="%3."/>
      <w:lvlJc w:val="right"/>
      <w:pPr>
        <w:ind w:left="2660" w:hanging="180"/>
      </w:pPr>
    </w:lvl>
    <w:lvl w:ilvl="3" w:tplc="2000000F" w:tentative="1">
      <w:start w:val="1"/>
      <w:numFmt w:val="decimal"/>
      <w:lvlText w:val="%4."/>
      <w:lvlJc w:val="left"/>
      <w:pPr>
        <w:ind w:left="3380" w:hanging="360"/>
      </w:pPr>
    </w:lvl>
    <w:lvl w:ilvl="4" w:tplc="20000019" w:tentative="1">
      <w:start w:val="1"/>
      <w:numFmt w:val="lowerLetter"/>
      <w:lvlText w:val="%5."/>
      <w:lvlJc w:val="left"/>
      <w:pPr>
        <w:ind w:left="4100" w:hanging="360"/>
      </w:pPr>
    </w:lvl>
    <w:lvl w:ilvl="5" w:tplc="2000001B" w:tentative="1">
      <w:start w:val="1"/>
      <w:numFmt w:val="lowerRoman"/>
      <w:lvlText w:val="%6."/>
      <w:lvlJc w:val="right"/>
      <w:pPr>
        <w:ind w:left="4820" w:hanging="180"/>
      </w:pPr>
    </w:lvl>
    <w:lvl w:ilvl="6" w:tplc="2000000F" w:tentative="1">
      <w:start w:val="1"/>
      <w:numFmt w:val="decimal"/>
      <w:lvlText w:val="%7."/>
      <w:lvlJc w:val="left"/>
      <w:pPr>
        <w:ind w:left="5540" w:hanging="360"/>
      </w:pPr>
    </w:lvl>
    <w:lvl w:ilvl="7" w:tplc="20000019" w:tentative="1">
      <w:start w:val="1"/>
      <w:numFmt w:val="lowerLetter"/>
      <w:lvlText w:val="%8."/>
      <w:lvlJc w:val="left"/>
      <w:pPr>
        <w:ind w:left="6260" w:hanging="360"/>
      </w:pPr>
    </w:lvl>
    <w:lvl w:ilvl="8" w:tplc="2000001B" w:tentative="1">
      <w:start w:val="1"/>
      <w:numFmt w:val="lowerRoman"/>
      <w:lvlText w:val="%9."/>
      <w:lvlJc w:val="right"/>
      <w:pPr>
        <w:ind w:left="6980" w:hanging="180"/>
      </w:pPr>
    </w:lvl>
  </w:abstractNum>
  <w:abstractNum w:abstractNumId="2" w15:restartNumberingAfterBreak="0">
    <w:nsid w:val="7F117054"/>
    <w:multiLevelType w:val="hybridMultilevel"/>
    <w:tmpl w:val="4BA08C22"/>
    <w:lvl w:ilvl="0" w:tplc="57DE6A7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9FA"/>
    <w:rsid w:val="000079DB"/>
    <w:rsid w:val="000104B2"/>
    <w:rsid w:val="000A1B06"/>
    <w:rsid w:val="0013731A"/>
    <w:rsid w:val="00166C45"/>
    <w:rsid w:val="00206908"/>
    <w:rsid w:val="00253D5A"/>
    <w:rsid w:val="00254AF6"/>
    <w:rsid w:val="002D616E"/>
    <w:rsid w:val="003106E5"/>
    <w:rsid w:val="0033286A"/>
    <w:rsid w:val="003D0DC6"/>
    <w:rsid w:val="003E6649"/>
    <w:rsid w:val="00405C5B"/>
    <w:rsid w:val="005028EE"/>
    <w:rsid w:val="00530B29"/>
    <w:rsid w:val="00564E94"/>
    <w:rsid w:val="0057498A"/>
    <w:rsid w:val="005A2306"/>
    <w:rsid w:val="005C6ACA"/>
    <w:rsid w:val="005E6319"/>
    <w:rsid w:val="005F1082"/>
    <w:rsid w:val="005F197C"/>
    <w:rsid w:val="005F5A2B"/>
    <w:rsid w:val="0063369B"/>
    <w:rsid w:val="006A021C"/>
    <w:rsid w:val="006A202C"/>
    <w:rsid w:val="006F1A93"/>
    <w:rsid w:val="006F3A7F"/>
    <w:rsid w:val="006F420D"/>
    <w:rsid w:val="00721A5F"/>
    <w:rsid w:val="00777CF2"/>
    <w:rsid w:val="00790108"/>
    <w:rsid w:val="007C0C09"/>
    <w:rsid w:val="007F12C4"/>
    <w:rsid w:val="0086046A"/>
    <w:rsid w:val="00892D51"/>
    <w:rsid w:val="00937991"/>
    <w:rsid w:val="009D1E2A"/>
    <w:rsid w:val="009D7E19"/>
    <w:rsid w:val="00A275A4"/>
    <w:rsid w:val="00A46837"/>
    <w:rsid w:val="00A73EE8"/>
    <w:rsid w:val="00AB29E2"/>
    <w:rsid w:val="00AC000E"/>
    <w:rsid w:val="00AF78F6"/>
    <w:rsid w:val="00B00ABF"/>
    <w:rsid w:val="00B062E9"/>
    <w:rsid w:val="00B35ED6"/>
    <w:rsid w:val="00B45A64"/>
    <w:rsid w:val="00B64D17"/>
    <w:rsid w:val="00B66754"/>
    <w:rsid w:val="00B81DC8"/>
    <w:rsid w:val="00B92B6F"/>
    <w:rsid w:val="00B9492D"/>
    <w:rsid w:val="00C37BF5"/>
    <w:rsid w:val="00CA135A"/>
    <w:rsid w:val="00CB30D2"/>
    <w:rsid w:val="00CB6E6D"/>
    <w:rsid w:val="00CC3C49"/>
    <w:rsid w:val="00CF21EC"/>
    <w:rsid w:val="00CF4C1B"/>
    <w:rsid w:val="00D1144B"/>
    <w:rsid w:val="00D1723E"/>
    <w:rsid w:val="00D86BE8"/>
    <w:rsid w:val="00D8741D"/>
    <w:rsid w:val="00E10A70"/>
    <w:rsid w:val="00E84181"/>
    <w:rsid w:val="00EB5CB9"/>
    <w:rsid w:val="00EC19FA"/>
    <w:rsid w:val="00F3541D"/>
    <w:rsid w:val="00F619AC"/>
    <w:rsid w:val="00F64311"/>
    <w:rsid w:val="00F721D7"/>
    <w:rsid w:val="00FA036B"/>
    <w:rsid w:val="00FB4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9588"/>
  <w15:chartTrackingRefBased/>
  <w15:docId w15:val="{EA8C7FCB-7A20-41EE-90E4-D4C2706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A7F"/>
    <w:pPr>
      <w:spacing w:line="276" w:lineRule="auto"/>
    </w:pPr>
    <w:rPr>
      <w:sz w:val="22"/>
      <w:szCs w:val="22"/>
      <w:lang w:eastAsia="ru-RU"/>
    </w:rPr>
  </w:style>
  <w:style w:type="paragraph" w:styleId="1">
    <w:name w:val="heading 1"/>
    <w:basedOn w:val="10"/>
    <w:next w:val="10"/>
    <w:rsid w:val="00EC19FA"/>
    <w:pPr>
      <w:keepNext/>
      <w:keepLines/>
      <w:spacing w:before="400" w:after="120"/>
      <w:outlineLvl w:val="0"/>
    </w:pPr>
    <w:rPr>
      <w:sz w:val="40"/>
      <w:szCs w:val="40"/>
    </w:rPr>
  </w:style>
  <w:style w:type="paragraph" w:styleId="2">
    <w:name w:val="heading 2"/>
    <w:basedOn w:val="10"/>
    <w:next w:val="10"/>
    <w:rsid w:val="00EC19FA"/>
    <w:pPr>
      <w:keepNext/>
      <w:keepLines/>
      <w:spacing w:before="360" w:after="120"/>
      <w:outlineLvl w:val="1"/>
    </w:pPr>
    <w:rPr>
      <w:sz w:val="32"/>
      <w:szCs w:val="32"/>
    </w:rPr>
  </w:style>
  <w:style w:type="paragraph" w:styleId="3">
    <w:name w:val="heading 3"/>
    <w:basedOn w:val="10"/>
    <w:next w:val="10"/>
    <w:rsid w:val="00EC19FA"/>
    <w:pPr>
      <w:keepNext/>
      <w:keepLines/>
      <w:spacing w:before="320" w:after="80"/>
      <w:outlineLvl w:val="2"/>
    </w:pPr>
    <w:rPr>
      <w:color w:val="434343"/>
      <w:sz w:val="28"/>
      <w:szCs w:val="28"/>
    </w:rPr>
  </w:style>
  <w:style w:type="paragraph" w:styleId="4">
    <w:name w:val="heading 4"/>
    <w:basedOn w:val="10"/>
    <w:next w:val="10"/>
    <w:rsid w:val="00EC19FA"/>
    <w:pPr>
      <w:keepNext/>
      <w:keepLines/>
      <w:spacing w:before="280" w:after="80"/>
      <w:outlineLvl w:val="3"/>
    </w:pPr>
    <w:rPr>
      <w:color w:val="666666"/>
      <w:sz w:val="24"/>
      <w:szCs w:val="24"/>
    </w:rPr>
  </w:style>
  <w:style w:type="paragraph" w:styleId="5">
    <w:name w:val="heading 5"/>
    <w:basedOn w:val="10"/>
    <w:next w:val="10"/>
    <w:rsid w:val="00EC19FA"/>
    <w:pPr>
      <w:keepNext/>
      <w:keepLines/>
      <w:spacing w:before="240" w:after="80"/>
      <w:outlineLvl w:val="4"/>
    </w:pPr>
    <w:rPr>
      <w:color w:val="666666"/>
    </w:rPr>
  </w:style>
  <w:style w:type="paragraph" w:styleId="6">
    <w:name w:val="heading 6"/>
    <w:basedOn w:val="10"/>
    <w:next w:val="10"/>
    <w:rsid w:val="00EC19F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C19FA"/>
    <w:pPr>
      <w:spacing w:line="276" w:lineRule="auto"/>
    </w:pPr>
    <w:rPr>
      <w:sz w:val="22"/>
      <w:szCs w:val="22"/>
      <w:lang w:eastAsia="ru-RU"/>
    </w:rPr>
  </w:style>
  <w:style w:type="table" w:customStyle="1" w:styleId="TableNormal">
    <w:name w:val="Table Normal"/>
    <w:rsid w:val="00EC19FA"/>
    <w:pPr>
      <w:spacing w:line="276" w:lineRule="auto"/>
    </w:pPr>
    <w:rPr>
      <w:sz w:val="22"/>
      <w:szCs w:val="22"/>
      <w:lang w:eastAsia="ru-RU"/>
    </w:rPr>
    <w:tblPr>
      <w:tblCellMar>
        <w:top w:w="0" w:type="dxa"/>
        <w:left w:w="0" w:type="dxa"/>
        <w:bottom w:w="0" w:type="dxa"/>
        <w:right w:w="0" w:type="dxa"/>
      </w:tblCellMar>
    </w:tblPr>
  </w:style>
  <w:style w:type="paragraph" w:customStyle="1" w:styleId="a3">
    <w:name w:val="Название"/>
    <w:basedOn w:val="10"/>
    <w:next w:val="10"/>
    <w:rsid w:val="00EC19FA"/>
    <w:pPr>
      <w:keepNext/>
      <w:keepLines/>
      <w:spacing w:after="60"/>
    </w:pPr>
    <w:rPr>
      <w:sz w:val="52"/>
      <w:szCs w:val="52"/>
    </w:rPr>
  </w:style>
  <w:style w:type="paragraph" w:styleId="a4">
    <w:name w:val="Subtitle"/>
    <w:basedOn w:val="10"/>
    <w:next w:val="10"/>
    <w:rsid w:val="00EC19FA"/>
    <w:pPr>
      <w:keepNext/>
      <w:keepLines/>
      <w:spacing w:after="320"/>
    </w:pPr>
    <w:rPr>
      <w:color w:val="666666"/>
      <w:sz w:val="30"/>
      <w:szCs w:val="30"/>
    </w:rPr>
  </w:style>
  <w:style w:type="table" w:customStyle="1" w:styleId="a5">
    <w:basedOn w:val="TableNormal"/>
    <w:rsid w:val="00EC19FA"/>
    <w:tblPr>
      <w:tblStyleRowBandSize w:val="1"/>
      <w:tblStyleColBandSize w:val="1"/>
      <w:tblCellMar>
        <w:top w:w="100" w:type="dxa"/>
        <w:left w:w="100" w:type="dxa"/>
        <w:bottom w:w="100" w:type="dxa"/>
        <w:right w:w="100" w:type="dxa"/>
      </w:tblCellMar>
    </w:tblPr>
  </w:style>
  <w:style w:type="character" w:customStyle="1" w:styleId="FontStyle13">
    <w:name w:val="Font Style13"/>
    <w:uiPriority w:val="99"/>
    <w:rsid w:val="00B45A64"/>
    <w:rPr>
      <w:rFonts w:ascii="Times New Roman" w:hAnsi="Times New Roman" w:cs="Times New Roman"/>
      <w:sz w:val="26"/>
      <w:szCs w:val="26"/>
    </w:rPr>
  </w:style>
  <w:style w:type="paragraph" w:customStyle="1" w:styleId="11">
    <w:name w:val="Обычный1"/>
    <w:rsid w:val="00B00ABF"/>
    <w:pPr>
      <w:spacing w:line="276" w:lineRule="auto"/>
    </w:pPr>
    <w:rPr>
      <w:color w:val="000000"/>
      <w:sz w:val="22"/>
      <w:szCs w:val="22"/>
      <w:lang w:val="ru-RU" w:eastAsia="ru-RU"/>
    </w:rPr>
  </w:style>
  <w:style w:type="character" w:customStyle="1" w:styleId="30">
    <w:name w:val="Основной текст (3)_"/>
    <w:link w:val="31"/>
    <w:rsid w:val="00CB30D2"/>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CB30D2"/>
    <w:pPr>
      <w:widowControl w:val="0"/>
      <w:shd w:val="clear" w:color="auto" w:fill="FFFFFF"/>
      <w:spacing w:before="120" w:line="283" w:lineRule="exact"/>
      <w:jc w:val="center"/>
    </w:pPr>
    <w:rPr>
      <w:rFonts w:ascii="Times New Roman" w:eastAsia="Times New Roman" w:hAnsi="Times New Roman" w:cs="Times New Roman"/>
      <w:b/>
      <w:bCs/>
      <w:spacing w:val="7"/>
      <w:sz w:val="20"/>
      <w:szCs w:val="20"/>
      <w:lang w:val="x-none" w:eastAsia="x-none"/>
    </w:rPr>
  </w:style>
  <w:style w:type="paragraph" w:styleId="a6">
    <w:name w:val="No Spacing"/>
    <w:uiPriority w:val="1"/>
    <w:qFormat/>
    <w:rsid w:val="00F619AC"/>
    <w:rPr>
      <w:sz w:val="22"/>
      <w:szCs w:val="22"/>
      <w:lang w:eastAsia="ru-RU"/>
    </w:rPr>
  </w:style>
  <w:style w:type="paragraph" w:styleId="a7">
    <w:name w:val="Balloon Text"/>
    <w:basedOn w:val="a"/>
    <w:link w:val="a8"/>
    <w:uiPriority w:val="99"/>
    <w:semiHidden/>
    <w:unhideWhenUsed/>
    <w:rsid w:val="005028EE"/>
    <w:pPr>
      <w:spacing w:line="240" w:lineRule="auto"/>
    </w:pPr>
    <w:rPr>
      <w:rFonts w:ascii="Segoe UI" w:hAnsi="Segoe UI" w:cs="Segoe UI"/>
      <w:sz w:val="18"/>
      <w:szCs w:val="18"/>
    </w:rPr>
  </w:style>
  <w:style w:type="character" w:customStyle="1" w:styleId="a8">
    <w:name w:val="Текст выноски Знак"/>
    <w:link w:val="a7"/>
    <w:uiPriority w:val="99"/>
    <w:semiHidden/>
    <w:rsid w:val="005028EE"/>
    <w:rPr>
      <w:rFonts w:ascii="Segoe UI" w:hAnsi="Segoe UI" w:cs="Segoe UI"/>
      <w:sz w:val="18"/>
      <w:szCs w:val="18"/>
      <w:lang w:eastAsia="ru-RU"/>
    </w:rPr>
  </w:style>
  <w:style w:type="paragraph" w:styleId="a9">
    <w:name w:val="Normal (Web)"/>
    <w:basedOn w:val="a"/>
    <w:uiPriority w:val="99"/>
    <w:semiHidden/>
    <w:unhideWhenUsed/>
    <w:rsid w:val="003106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uiPriority w:val="99"/>
    <w:semiHidden/>
    <w:unhideWhenUsed/>
    <w:rsid w:val="0057498A"/>
    <w:rPr>
      <w:color w:val="0000FF"/>
      <w:u w:val="single"/>
    </w:rPr>
  </w:style>
  <w:style w:type="character" w:customStyle="1" w:styleId="zk-definition-listitem-text">
    <w:name w:val="zk-definition-list__item-text"/>
    <w:rsid w:val="0057498A"/>
  </w:style>
  <w:style w:type="paragraph" w:styleId="ab">
    <w:name w:val="List Paragraph"/>
    <w:aliases w:val="Elenco Normale"/>
    <w:basedOn w:val="a"/>
    <w:link w:val="ac"/>
    <w:uiPriority w:val="99"/>
    <w:qFormat/>
    <w:rsid w:val="00CF21EC"/>
    <w:pPr>
      <w:spacing w:after="160" w:line="259" w:lineRule="auto"/>
      <w:ind w:left="720"/>
    </w:pPr>
    <w:rPr>
      <w:rFonts w:ascii="Calibri" w:eastAsia="Calibri" w:hAnsi="Calibri" w:cs="Calibri"/>
      <w:sz w:val="20"/>
      <w:szCs w:val="20"/>
      <w:lang w:eastAsia="uk-UA"/>
    </w:rPr>
  </w:style>
  <w:style w:type="character" w:customStyle="1" w:styleId="ac">
    <w:name w:val="Абзац списка Знак"/>
    <w:aliases w:val="Elenco Normale Знак"/>
    <w:link w:val="ab"/>
    <w:uiPriority w:val="99"/>
    <w:locked/>
    <w:rsid w:val="00CF21EC"/>
    <w:rPr>
      <w:rFonts w:ascii="Calibri" w:eastAsia="Calibri" w:hAnsi="Calibri" w:cs="Calibri"/>
    </w:rPr>
  </w:style>
  <w:style w:type="paragraph" w:styleId="ad">
    <w:name w:val="Block Text"/>
    <w:basedOn w:val="a"/>
    <w:rsid w:val="00CF21EC"/>
    <w:pPr>
      <w:widowControl w:val="0"/>
      <w:autoSpaceDE w:val="0"/>
      <w:autoSpaceDN w:val="0"/>
      <w:adjustRightInd w:val="0"/>
      <w:spacing w:before="360" w:line="218" w:lineRule="auto"/>
      <w:ind w:left="3040" w:right="3000"/>
      <w:jc w:val="center"/>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654">
      <w:bodyDiv w:val="1"/>
      <w:marLeft w:val="0"/>
      <w:marRight w:val="0"/>
      <w:marTop w:val="0"/>
      <w:marBottom w:val="0"/>
      <w:divBdr>
        <w:top w:val="none" w:sz="0" w:space="0" w:color="auto"/>
        <w:left w:val="none" w:sz="0" w:space="0" w:color="auto"/>
        <w:bottom w:val="none" w:sz="0" w:space="0" w:color="auto"/>
        <w:right w:val="none" w:sz="0" w:space="0" w:color="auto"/>
      </w:divBdr>
      <w:divsChild>
        <w:div w:id="509416122">
          <w:marLeft w:val="0"/>
          <w:marRight w:val="0"/>
          <w:marTop w:val="0"/>
          <w:marBottom w:val="0"/>
          <w:divBdr>
            <w:top w:val="none" w:sz="0" w:space="0" w:color="auto"/>
            <w:left w:val="none" w:sz="0" w:space="0" w:color="auto"/>
            <w:bottom w:val="none" w:sz="0" w:space="0" w:color="auto"/>
            <w:right w:val="none" w:sz="0" w:space="0" w:color="auto"/>
          </w:divBdr>
        </w:div>
        <w:div w:id="1749620671">
          <w:marLeft w:val="0"/>
          <w:marRight w:val="0"/>
          <w:marTop w:val="0"/>
          <w:marBottom w:val="0"/>
          <w:divBdr>
            <w:top w:val="none" w:sz="0" w:space="0" w:color="auto"/>
            <w:left w:val="none" w:sz="0" w:space="0" w:color="auto"/>
            <w:bottom w:val="none" w:sz="0" w:space="0" w:color="auto"/>
            <w:right w:val="none" w:sz="0" w:space="0" w:color="auto"/>
          </w:divBdr>
        </w:div>
      </w:divsChild>
    </w:div>
    <w:div w:id="1049035383">
      <w:bodyDiv w:val="1"/>
      <w:marLeft w:val="0"/>
      <w:marRight w:val="0"/>
      <w:marTop w:val="0"/>
      <w:marBottom w:val="0"/>
      <w:divBdr>
        <w:top w:val="none" w:sz="0" w:space="0" w:color="auto"/>
        <w:left w:val="none" w:sz="0" w:space="0" w:color="auto"/>
        <w:bottom w:val="none" w:sz="0" w:space="0" w:color="auto"/>
        <w:right w:val="none" w:sz="0" w:space="0" w:color="auto"/>
      </w:divBdr>
    </w:div>
    <w:div w:id="1171482478">
      <w:bodyDiv w:val="1"/>
      <w:marLeft w:val="0"/>
      <w:marRight w:val="0"/>
      <w:marTop w:val="0"/>
      <w:marBottom w:val="0"/>
      <w:divBdr>
        <w:top w:val="none" w:sz="0" w:space="0" w:color="auto"/>
        <w:left w:val="none" w:sz="0" w:space="0" w:color="auto"/>
        <w:bottom w:val="none" w:sz="0" w:space="0" w:color="auto"/>
        <w:right w:val="none" w:sz="0" w:space="0" w:color="auto"/>
      </w:divBdr>
    </w:div>
    <w:div w:id="1515731966">
      <w:bodyDiv w:val="1"/>
      <w:marLeft w:val="0"/>
      <w:marRight w:val="0"/>
      <w:marTop w:val="0"/>
      <w:marBottom w:val="0"/>
      <w:divBdr>
        <w:top w:val="none" w:sz="0" w:space="0" w:color="auto"/>
        <w:left w:val="none" w:sz="0" w:space="0" w:color="auto"/>
        <w:bottom w:val="none" w:sz="0" w:space="0" w:color="auto"/>
        <w:right w:val="none" w:sz="0" w:space="0" w:color="auto"/>
      </w:divBdr>
      <w:divsChild>
        <w:div w:id="1621688459">
          <w:marLeft w:val="0"/>
          <w:marRight w:val="0"/>
          <w:marTop w:val="0"/>
          <w:marBottom w:val="109"/>
          <w:divBdr>
            <w:top w:val="none" w:sz="0" w:space="0" w:color="auto"/>
            <w:left w:val="none" w:sz="0" w:space="0" w:color="auto"/>
            <w:bottom w:val="none" w:sz="0" w:space="0" w:color="auto"/>
            <w:right w:val="none" w:sz="0" w:space="0" w:color="auto"/>
          </w:divBdr>
        </w:div>
      </w:divsChild>
    </w:div>
    <w:div w:id="1608349386">
      <w:bodyDiv w:val="1"/>
      <w:marLeft w:val="0"/>
      <w:marRight w:val="0"/>
      <w:marTop w:val="0"/>
      <w:marBottom w:val="0"/>
      <w:divBdr>
        <w:top w:val="none" w:sz="0" w:space="0" w:color="auto"/>
        <w:left w:val="none" w:sz="0" w:space="0" w:color="auto"/>
        <w:bottom w:val="none" w:sz="0" w:space="0" w:color="auto"/>
        <w:right w:val="none" w:sz="0" w:space="0" w:color="auto"/>
      </w:divBdr>
    </w:div>
    <w:div w:id="1990092592">
      <w:bodyDiv w:val="1"/>
      <w:marLeft w:val="0"/>
      <w:marRight w:val="0"/>
      <w:marTop w:val="0"/>
      <w:marBottom w:val="0"/>
      <w:divBdr>
        <w:top w:val="none" w:sz="0" w:space="0" w:color="auto"/>
        <w:left w:val="none" w:sz="0" w:space="0" w:color="auto"/>
        <w:bottom w:val="none" w:sz="0" w:space="0" w:color="auto"/>
        <w:right w:val="none" w:sz="0" w:space="0" w:color="auto"/>
      </w:divBdr>
      <w:divsChild>
        <w:div w:id="40765832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B160-3D3A-4F55-AF1A-A56BEE76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2610</Words>
  <Characters>1489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5. Комплекс технічних засобів системи пожежної сигналізації та системи оповіщенн</vt:lpstr>
      <vt:lpstr>6. Джерела безперебійного живлення, при відключенні основного живлення (220 В), </vt:lpstr>
      <vt:lpstr>7. Усі матеріали і устаткування повинні  мати сертифікати, що діють на території</vt:lpstr>
    </vt:vector>
  </TitlesOfParts>
  <Company>Reanimator Extreme Edition</Company>
  <LinksUpToDate>false</LinksUpToDate>
  <CharactersWithSpaces>4091</CharactersWithSpaces>
  <SharedDoc>false</SharedDoc>
  <HLinks>
    <vt:vector size="12" baseType="variant">
      <vt:variant>
        <vt:i4>1376300</vt:i4>
      </vt:variant>
      <vt:variant>
        <vt:i4>3</vt:i4>
      </vt:variant>
      <vt:variant>
        <vt:i4>0</vt:i4>
      </vt:variant>
      <vt:variant>
        <vt:i4>5</vt:i4>
      </vt:variant>
      <vt:variant>
        <vt:lpwstr>https://my.zakupki.prom.ua/cabinet/purchases/state_purchase/view/24389937</vt:lpwstr>
      </vt:variant>
      <vt:variant>
        <vt:lpwstr/>
      </vt:variant>
      <vt:variant>
        <vt:i4>327766</vt:i4>
      </vt:variant>
      <vt:variant>
        <vt:i4>0</vt:i4>
      </vt:variant>
      <vt:variant>
        <vt:i4>0</vt:i4>
      </vt:variant>
      <vt:variant>
        <vt:i4>5</vt:i4>
      </vt:variant>
      <vt:variant>
        <vt:lpwstr>https://prozorro.gov.ua/plan/UA-P-2021-02-25-001386-a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c:creator>
  <cp:keywords/>
  <cp:lastModifiedBy>ПФзПЗ</cp:lastModifiedBy>
  <cp:revision>3</cp:revision>
  <cp:lastPrinted>2021-01-16T07:41:00Z</cp:lastPrinted>
  <dcterms:created xsi:type="dcterms:W3CDTF">2022-09-27T05:51:00Z</dcterms:created>
  <dcterms:modified xsi:type="dcterms:W3CDTF">2022-09-27T05:52:00Z</dcterms:modified>
</cp:coreProperties>
</file>