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E018B8">
        <w:rPr>
          <w:b/>
          <w:sz w:val="24"/>
          <w:szCs w:val="24"/>
          <w:lang w:val="uk-UA" w:eastAsia="ar-SA"/>
        </w:rPr>
        <w:t xml:space="preserve"> </w:t>
      </w:r>
      <w:r w:rsidR="004072C2">
        <w:rPr>
          <w:b/>
          <w:sz w:val="24"/>
          <w:szCs w:val="24"/>
          <w:lang w:val="uk-UA" w:eastAsia="ar-SA"/>
        </w:rPr>
        <w:t>254</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4072C2">
        <w:rPr>
          <w:b/>
          <w:color w:val="000000"/>
          <w:sz w:val="24"/>
          <w:szCs w:val="24"/>
          <w:lang w:val="uk-UA" w:eastAsia="ar-SA"/>
        </w:rPr>
        <w:t>19</w:t>
      </w:r>
      <w:bookmarkStart w:id="2" w:name="_GoBack"/>
      <w:bookmarkEnd w:id="2"/>
      <w:r w:rsidR="003E671F">
        <w:rPr>
          <w:b/>
          <w:color w:val="000000"/>
          <w:sz w:val="24"/>
          <w:szCs w:val="24"/>
          <w:lang w:val="uk-UA" w:eastAsia="ar-SA"/>
        </w:rPr>
        <w:t xml:space="preserve"> </w:t>
      </w:r>
      <w:r w:rsidR="00B23CB2">
        <w:rPr>
          <w:b/>
          <w:color w:val="000000"/>
          <w:sz w:val="24"/>
          <w:szCs w:val="24"/>
          <w:lang w:val="uk-UA" w:eastAsia="ar-SA"/>
        </w:rPr>
        <w:t>березня</w:t>
      </w:r>
      <w:r w:rsidR="00E018B8">
        <w:rPr>
          <w:b/>
          <w:color w:val="002060"/>
          <w:sz w:val="24"/>
          <w:szCs w:val="24"/>
          <w:lang w:val="uk-UA" w:eastAsia="ar-SA"/>
        </w:rPr>
        <w:t xml:space="preserve"> </w:t>
      </w:r>
      <w:r w:rsidR="00310270" w:rsidRPr="00786E9C">
        <w:rPr>
          <w:b/>
          <w:color w:val="000000"/>
          <w:sz w:val="24"/>
          <w:szCs w:val="24"/>
          <w:lang w:val="uk-UA" w:eastAsia="ar-SA"/>
        </w:rPr>
        <w:t>202</w:t>
      </w:r>
      <w:r w:rsidR="006604B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6604B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6604B2">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3B7F07">
        <w:rPr>
          <w:color w:val="auto"/>
          <w:lang w:val="uk-UA"/>
        </w:rPr>
        <w:t>щодо</w:t>
      </w:r>
      <w:r w:rsidRPr="00616330">
        <w:rPr>
          <w:lang w:val="uk-UA"/>
        </w:rPr>
        <w:t xml:space="preserve"> закупівлі</w:t>
      </w:r>
      <w:r>
        <w:rPr>
          <w:lang w:val="uk-UA"/>
        </w:rPr>
        <w:t xml:space="preserve"> </w:t>
      </w:r>
      <w:r w:rsidR="00B23CB2">
        <w:rPr>
          <w:color w:val="002060"/>
          <w:lang w:val="uk-UA"/>
        </w:rPr>
        <w:t>стрічки діаграмної ЕКГ</w:t>
      </w:r>
      <w:r w:rsidR="00E5669D">
        <w:rPr>
          <w:color w:val="002060"/>
          <w:lang w:val="uk-UA"/>
        </w:rPr>
        <w:t xml:space="preserve"> </w:t>
      </w:r>
      <w:r w:rsidR="00CD378A">
        <w:rPr>
          <w:color w:val="002060"/>
          <w:lang w:val="uk-UA"/>
        </w:rPr>
        <w:t>з</w:t>
      </w:r>
      <w:r w:rsidRPr="0075377F">
        <w:rPr>
          <w:color w:val="002060"/>
          <w:lang w:val="uk-UA"/>
        </w:rPr>
        <w:t>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6604B2">
        <w:rPr>
          <w:color w:val="002060"/>
          <w:lang w:val="uk-UA"/>
        </w:rPr>
        <w:t>021:2015-2299</w:t>
      </w:r>
      <w:r w:rsidR="00402A66">
        <w:rPr>
          <w:color w:val="002060"/>
          <w:lang w:val="uk-UA"/>
        </w:rPr>
        <w:t>00</w:t>
      </w:r>
      <w:r w:rsidR="00644A54">
        <w:rPr>
          <w:color w:val="002060"/>
          <w:lang w:val="uk-UA"/>
        </w:rPr>
        <w:t>00</w:t>
      </w:r>
      <w:r w:rsidRPr="002801C6">
        <w:rPr>
          <w:color w:val="002060"/>
          <w:spacing w:val="2"/>
          <w:shd w:val="clear" w:color="auto" w:fill="F0F0F0"/>
          <w:lang w:val="uk-UA"/>
        </w:rPr>
        <w:t>-</w:t>
      </w:r>
      <w:r w:rsidR="006604B2">
        <w:rPr>
          <w:rFonts w:eastAsia="Times New Roman"/>
          <w:color w:val="002060"/>
          <w:lang w:val="uk-UA"/>
        </w:rPr>
        <w:t>6</w:t>
      </w:r>
      <w:r w:rsidR="00E5669D">
        <w:rPr>
          <w:rFonts w:eastAsia="Times New Roman"/>
          <w:color w:val="002060"/>
          <w:lang w:val="uk-UA"/>
        </w:rPr>
        <w:t xml:space="preserve"> </w:t>
      </w:r>
      <w:r w:rsidRPr="002801C6">
        <w:rPr>
          <w:rFonts w:eastAsia="Times New Roman"/>
          <w:color w:val="002060"/>
          <w:lang w:val="uk-UA"/>
        </w:rPr>
        <w:t>«</w:t>
      </w:r>
      <w:r w:rsidR="006604B2" w:rsidRPr="006604B2">
        <w:rPr>
          <w:rFonts w:eastAsia="Times New Roman"/>
          <w:color w:val="002060"/>
          <w:lang w:val="uk-UA"/>
        </w:rPr>
        <w:t>Газетний папір, папір ручного виготовлення та інший некрейдований папір або картон для графічних цілей</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B23CB2">
        <w:rPr>
          <w:color w:val="002060"/>
          <w:lang w:val="uk-UA"/>
        </w:rPr>
        <w:t>Приватним малим</w:t>
      </w:r>
      <w:r w:rsidR="00B23CB2" w:rsidRPr="00B23CB2">
        <w:rPr>
          <w:color w:val="002060"/>
          <w:lang w:val="uk-UA"/>
        </w:rPr>
        <w:t xml:space="preserve"> підприємство</w:t>
      </w:r>
      <w:r w:rsidR="00B23CB2">
        <w:rPr>
          <w:color w:val="002060"/>
          <w:lang w:val="uk-UA"/>
        </w:rPr>
        <w:t>м</w:t>
      </w:r>
      <w:r w:rsidR="00B23CB2" w:rsidRPr="00B23CB2">
        <w:rPr>
          <w:color w:val="002060"/>
          <w:lang w:val="uk-UA"/>
        </w:rPr>
        <w:t xml:space="preserve"> “Медтехніка”</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6604B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A040DC">
        <w:rPr>
          <w:rFonts w:ascii="Times New Roman" w:hAnsi="Times New Roman"/>
          <w:color w:val="002060"/>
          <w:sz w:val="24"/>
          <w:szCs w:val="24"/>
          <w:lang w:val="uk-UA"/>
        </w:rPr>
        <w:t xml:space="preserve"> </w:t>
      </w:r>
      <w:r w:rsidR="00B23CB2">
        <w:rPr>
          <w:rFonts w:ascii="Times New Roman" w:hAnsi="Times New Roman"/>
          <w:color w:val="002060"/>
          <w:sz w:val="24"/>
          <w:szCs w:val="24"/>
          <w:lang w:val="uk-UA"/>
        </w:rPr>
        <w:t>18.03</w:t>
      </w:r>
      <w:r w:rsidR="002D0A88" w:rsidRPr="002D0A88">
        <w:rPr>
          <w:rFonts w:ascii="Times New Roman" w:hAnsi="Times New Roman"/>
          <w:color w:val="002060"/>
          <w:sz w:val="24"/>
          <w:szCs w:val="24"/>
          <w:lang w:val="uk-UA"/>
        </w:rPr>
        <w:t>.202</w:t>
      </w:r>
      <w:r w:rsidR="006604B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A040DC">
        <w:rPr>
          <w:rFonts w:ascii="Times New Roman" w:hAnsi="Times New Roman"/>
          <w:color w:val="002060"/>
          <w:sz w:val="24"/>
          <w:szCs w:val="24"/>
        </w:rPr>
        <w:t xml:space="preserve"> </w:t>
      </w:r>
      <w:r w:rsidR="00B23CB2">
        <w:rPr>
          <w:rFonts w:ascii="Times New Roman" w:hAnsi="Times New Roman"/>
          <w:color w:val="002060"/>
          <w:sz w:val="24"/>
          <w:szCs w:val="24"/>
        </w:rPr>
        <w:t>18.03</w:t>
      </w:r>
      <w:r w:rsidR="0051641A" w:rsidRPr="0051641A">
        <w:rPr>
          <w:rFonts w:ascii="Times New Roman" w:hAnsi="Times New Roman"/>
          <w:color w:val="002060"/>
          <w:sz w:val="24"/>
          <w:szCs w:val="24"/>
        </w:rPr>
        <w:t>.202</w:t>
      </w:r>
      <w:r w:rsidR="006604B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6604B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604B2" w:rsidP="0066493B">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B23CB2">
        <w:rPr>
          <w:color w:val="002060"/>
          <w:lang w:val="uk-UA"/>
        </w:rPr>
        <w:t>18 березня</w:t>
      </w:r>
      <w:r w:rsidR="00310270" w:rsidRPr="00B80E61">
        <w:rPr>
          <w:color w:val="002060"/>
          <w:lang w:val="uk-UA"/>
        </w:rPr>
        <w:t xml:space="preserve"> 202</w:t>
      </w:r>
      <w:r w:rsidR="006604B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B23CB2">
        <w:rPr>
          <w:color w:val="002060"/>
          <w:lang w:val="uk-UA"/>
        </w:rPr>
        <w:t>155</w:t>
      </w:r>
      <w:r w:rsidR="00E018B8">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B23CB2" w:rsidRDefault="00F57920" w:rsidP="00142F93">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B23CB2" w:rsidRPr="00B23CB2">
        <w:rPr>
          <w:bCs/>
          <w:color w:val="002060"/>
          <w:lang w:val="uk-UA"/>
        </w:rPr>
        <w:t>Приватне мале підприємство “Медтехніка”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B23CB2" w:rsidP="00142F93">
      <w:pPr>
        <w:pStyle w:val="Default"/>
        <w:rPr>
          <w:lang w:val="uk-UA"/>
        </w:rPr>
      </w:pPr>
      <w:r w:rsidRPr="00B23CB2">
        <w:rPr>
          <w:color w:val="002060"/>
          <w:lang w:val="uk-UA"/>
        </w:rPr>
        <w:t>23831270</w:t>
      </w:r>
      <w:r w:rsidR="00142F93" w:rsidRPr="00B50543">
        <w:rPr>
          <w:sz w:val="22"/>
          <w:szCs w:val="22"/>
          <w:lang w:val="uk-UA"/>
        </w:rPr>
        <w:t xml:space="preserve">. </w:t>
      </w:r>
      <w:r>
        <w:rPr>
          <w:color w:val="002060"/>
          <w:shd w:val="clear" w:color="auto" w:fill="FFFFFF"/>
          <w:lang w:val="uk-UA"/>
        </w:rPr>
        <w:t>Суб'єкт мал</w:t>
      </w:r>
      <w:r w:rsidR="00031113">
        <w:rPr>
          <w:color w:val="002060"/>
          <w:shd w:val="clear" w:color="auto" w:fill="FFFFFF"/>
          <w:lang w:val="uk-UA"/>
        </w:rPr>
        <w:t>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B23CB2" w:rsidRDefault="00852E18" w:rsidP="00B23CB2">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23CB2">
        <w:rPr>
          <w:color w:val="002060"/>
          <w:lang w:val="uk-UA"/>
        </w:rPr>
        <w:t>32300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23CB2">
        <w:rPr>
          <w:color w:val="002060"/>
          <w:shd w:val="clear" w:color="auto" w:fill="FFFFFF"/>
          <w:lang w:val="uk-UA"/>
        </w:rPr>
        <w:t>Хмельницька обл.,  м. Кам’янець - Поді</w:t>
      </w:r>
      <w:r w:rsidR="00B23CB2" w:rsidRPr="00B23CB2">
        <w:rPr>
          <w:color w:val="002060"/>
          <w:shd w:val="clear" w:color="auto" w:fill="FFFFFF"/>
          <w:lang w:val="uk-UA"/>
        </w:rPr>
        <w:t>льський,</w:t>
      </w:r>
      <w:r w:rsidR="00031113">
        <w:rPr>
          <w:color w:val="002060"/>
          <w:lang w:val="uk-UA"/>
        </w:rPr>
        <w:t xml:space="preserve">, </w:t>
      </w:r>
      <w:r w:rsidR="00B23CB2" w:rsidRPr="00B23CB2">
        <w:rPr>
          <w:color w:val="002060"/>
          <w:lang w:val="uk-UA"/>
        </w:rPr>
        <w:t>пр.</w:t>
      </w:r>
      <w:r w:rsidR="00B23CB2">
        <w:rPr>
          <w:color w:val="002060"/>
          <w:lang w:val="uk-UA"/>
        </w:rPr>
        <w:t xml:space="preserve"> </w:t>
      </w:r>
      <w:r w:rsidR="00B23CB2" w:rsidRPr="00B23CB2">
        <w:rPr>
          <w:color w:val="002060"/>
          <w:lang w:val="uk-UA"/>
        </w:rPr>
        <w:t>М. Грушевського,32</w:t>
      </w:r>
      <w:r w:rsidR="00B23CB2">
        <w:rPr>
          <w:color w:val="002060"/>
          <w:lang w:val="uk-UA"/>
        </w:rPr>
        <w:t>.</w:t>
      </w:r>
    </w:p>
    <w:p w:rsidR="00B97A3F" w:rsidRPr="00031113" w:rsidRDefault="00C75E44" w:rsidP="00B23CB2">
      <w:pPr>
        <w:pStyle w:val="Default"/>
        <w:jc w:val="both"/>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031113">
        <w:rPr>
          <w:lang w:val="uk-UA"/>
        </w:rPr>
        <w:t xml:space="preserve"> </w:t>
      </w:r>
    </w:p>
    <w:p w:rsidR="004E1610" w:rsidRPr="00C75E44" w:rsidRDefault="00A57A18" w:rsidP="00C75E44">
      <w:pPr>
        <w:shd w:val="clear" w:color="auto" w:fill="FFFFFF"/>
        <w:jc w:val="both"/>
        <w:rPr>
          <w:color w:val="002060"/>
          <w:sz w:val="24"/>
          <w:szCs w:val="24"/>
          <w:shd w:val="clear" w:color="auto" w:fill="FFFFFF"/>
          <w:lang w:val="uk-UA"/>
        </w:rPr>
      </w:pPr>
      <w:r w:rsidRPr="00A57A18">
        <w:rPr>
          <w:color w:val="002060"/>
          <w:sz w:val="24"/>
          <w:szCs w:val="24"/>
          <w:lang w:val="uk-UA"/>
        </w:rPr>
        <w:t>(03849) 3-22-94</w:t>
      </w:r>
      <w:r w:rsidR="00395CD7" w:rsidRPr="00C75E44">
        <w:rPr>
          <w:color w:val="002060"/>
          <w:sz w:val="24"/>
          <w:szCs w:val="24"/>
          <w:lang w:val="uk-UA"/>
        </w:rPr>
        <w:t>.</w:t>
      </w:r>
    </w:p>
    <w:p w:rsidR="00366B32" w:rsidRDefault="00195402" w:rsidP="00E018B8">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8209AC">
        <w:rPr>
          <w:lang w:val="uk-UA"/>
        </w:rPr>
        <w:t>:</w:t>
      </w:r>
      <w:r w:rsidR="00402A66" w:rsidRPr="00402A66">
        <w:rPr>
          <w:color w:val="002060"/>
          <w:sz w:val="28"/>
          <w:szCs w:val="28"/>
          <w:lang w:val="uk-UA" w:eastAsia="en-US"/>
        </w:rPr>
        <w:t xml:space="preserve"> </w:t>
      </w:r>
      <w:r w:rsidR="0045537D">
        <w:rPr>
          <w:color w:val="002060"/>
          <w:lang w:val="uk-UA"/>
        </w:rPr>
        <w:t>С</w:t>
      </w:r>
      <w:r w:rsidR="0045537D" w:rsidRPr="0045537D">
        <w:rPr>
          <w:color w:val="002060"/>
          <w:lang w:val="uk-UA"/>
        </w:rPr>
        <w:t>трічк</w:t>
      </w:r>
      <w:r w:rsidR="0045537D">
        <w:rPr>
          <w:color w:val="002060"/>
          <w:lang w:val="uk-UA"/>
        </w:rPr>
        <w:t>а</w:t>
      </w:r>
      <w:r w:rsidR="0045537D" w:rsidRPr="0045537D">
        <w:rPr>
          <w:color w:val="002060"/>
          <w:lang w:val="uk-UA"/>
        </w:rPr>
        <w:t xml:space="preserve"> діаграмн</w:t>
      </w:r>
      <w:r w:rsidR="0045537D">
        <w:rPr>
          <w:color w:val="002060"/>
          <w:lang w:val="uk-UA"/>
        </w:rPr>
        <w:t>а</w:t>
      </w:r>
      <w:r w:rsidR="0045537D" w:rsidRPr="0045537D">
        <w:rPr>
          <w:color w:val="002060"/>
          <w:lang w:val="uk-UA"/>
        </w:rPr>
        <w:t xml:space="preserve"> </w:t>
      </w:r>
      <w:r w:rsidR="00A57A18">
        <w:rPr>
          <w:color w:val="002060"/>
          <w:lang w:val="uk-UA"/>
        </w:rPr>
        <w:t>ЕКГ</w:t>
      </w:r>
      <w:r w:rsidR="0045537D" w:rsidRPr="0045537D">
        <w:rPr>
          <w:color w:val="002060"/>
          <w:lang w:val="uk-UA"/>
        </w:rPr>
        <w:t xml:space="preserve"> за кодом СPV ДК 021:2015-22990000-6 «Газетний папір, папір ручного виготовлення та інший некрейдований папір або картон для графічних цілей»</w:t>
      </w:r>
    </w:p>
    <w:p w:rsidR="00E018B8" w:rsidRDefault="003B7F07" w:rsidP="00A57A18">
      <w:pPr>
        <w:pStyle w:val="Default"/>
        <w:jc w:val="both"/>
        <w:rPr>
          <w:color w:val="002060"/>
          <w:lang w:val="uk-UA"/>
        </w:rPr>
      </w:pPr>
      <w:r w:rsidRPr="003B7F07">
        <w:rPr>
          <w:color w:val="002060"/>
          <w:lang w:val="uk-UA"/>
        </w:rPr>
        <w:t xml:space="preserve"> </w:t>
      </w:r>
      <w:r w:rsidR="00BA1BBA">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E018B8">
        <w:rPr>
          <w:color w:val="002060"/>
          <w:lang w:val="uk-UA"/>
        </w:rPr>
        <w:t xml:space="preserve"> </w:t>
      </w:r>
      <w:r w:rsidR="00A57A18">
        <w:rPr>
          <w:color w:val="002060"/>
          <w:lang w:val="uk-UA"/>
        </w:rPr>
        <w:t>С</w:t>
      </w:r>
      <w:r w:rsidR="00A57A18" w:rsidRPr="0045537D">
        <w:rPr>
          <w:color w:val="002060"/>
          <w:lang w:val="uk-UA"/>
        </w:rPr>
        <w:t>трічк</w:t>
      </w:r>
      <w:r w:rsidR="00A57A18">
        <w:rPr>
          <w:color w:val="002060"/>
          <w:lang w:val="uk-UA"/>
        </w:rPr>
        <w:t>а</w:t>
      </w:r>
      <w:r w:rsidR="00A57A18" w:rsidRPr="0045537D">
        <w:rPr>
          <w:color w:val="002060"/>
          <w:lang w:val="uk-UA"/>
        </w:rPr>
        <w:t xml:space="preserve"> діаграмн</w:t>
      </w:r>
      <w:r w:rsidR="00A57A18">
        <w:rPr>
          <w:color w:val="002060"/>
          <w:lang w:val="uk-UA"/>
        </w:rPr>
        <w:t>а</w:t>
      </w:r>
      <w:r w:rsidR="00A57A18" w:rsidRPr="0045537D">
        <w:rPr>
          <w:color w:val="002060"/>
          <w:lang w:val="uk-UA"/>
        </w:rPr>
        <w:t xml:space="preserve"> </w:t>
      </w:r>
      <w:r w:rsidR="00A57A18">
        <w:rPr>
          <w:color w:val="002060"/>
          <w:lang w:val="uk-UA"/>
        </w:rPr>
        <w:t>ЕКГ 80*23</w:t>
      </w:r>
      <w:r w:rsidR="00A57A18" w:rsidRPr="0045537D">
        <w:rPr>
          <w:color w:val="002060"/>
          <w:lang w:val="uk-UA"/>
        </w:rPr>
        <w:t xml:space="preserve"> </w:t>
      </w:r>
      <w:r w:rsidR="005D1767">
        <w:rPr>
          <w:color w:val="002060"/>
          <w:lang w:val="uk-UA"/>
        </w:rPr>
        <w:t xml:space="preserve">- </w:t>
      </w:r>
      <w:r w:rsidR="00A57A18">
        <w:rPr>
          <w:color w:val="002060"/>
          <w:lang w:val="uk-UA"/>
        </w:rPr>
        <w:t>5</w:t>
      </w:r>
      <w:r w:rsidR="0045537D">
        <w:rPr>
          <w:color w:val="002060"/>
          <w:lang w:val="uk-UA"/>
        </w:rPr>
        <w:t>0</w:t>
      </w:r>
      <w:r w:rsidR="00366B32">
        <w:rPr>
          <w:color w:val="002060"/>
          <w:lang w:val="uk-UA"/>
        </w:rPr>
        <w:t xml:space="preserve"> </w:t>
      </w:r>
      <w:r w:rsidR="00A57A18">
        <w:rPr>
          <w:color w:val="002060"/>
          <w:lang w:val="uk-UA"/>
        </w:rPr>
        <w:t>шт</w:t>
      </w:r>
      <w:r w:rsidR="0045537D">
        <w:rPr>
          <w:color w:val="002060"/>
          <w:lang w:val="uk-UA"/>
        </w:rPr>
        <w:t>.</w:t>
      </w:r>
      <w:r w:rsidR="00A57A18">
        <w:rPr>
          <w:color w:val="002060"/>
          <w:lang w:val="uk-UA"/>
        </w:rPr>
        <w:t xml:space="preserve"> С</w:t>
      </w:r>
      <w:r w:rsidR="00A57A18" w:rsidRPr="0045537D">
        <w:rPr>
          <w:color w:val="002060"/>
          <w:lang w:val="uk-UA"/>
        </w:rPr>
        <w:t>трічк</w:t>
      </w:r>
      <w:r w:rsidR="00A57A18">
        <w:rPr>
          <w:color w:val="002060"/>
          <w:lang w:val="uk-UA"/>
        </w:rPr>
        <w:t>а</w:t>
      </w:r>
      <w:r w:rsidR="00A57A18" w:rsidRPr="0045537D">
        <w:rPr>
          <w:color w:val="002060"/>
          <w:lang w:val="uk-UA"/>
        </w:rPr>
        <w:t xml:space="preserve"> діаграмн</w:t>
      </w:r>
      <w:r w:rsidR="00A57A18">
        <w:rPr>
          <w:color w:val="002060"/>
          <w:lang w:val="uk-UA"/>
        </w:rPr>
        <w:t>а</w:t>
      </w:r>
      <w:r w:rsidR="00A57A18" w:rsidRPr="0045537D">
        <w:rPr>
          <w:color w:val="002060"/>
          <w:lang w:val="uk-UA"/>
        </w:rPr>
        <w:t xml:space="preserve"> </w:t>
      </w:r>
      <w:r w:rsidR="00A57A18">
        <w:rPr>
          <w:color w:val="002060"/>
          <w:lang w:val="uk-UA"/>
        </w:rPr>
        <w:t>ЕКГ 110*140*140 – 100 шт.</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A17CB2">
        <w:rPr>
          <w:color w:val="002060"/>
          <w:lang w:val="uk-UA"/>
        </w:rPr>
        <w:t>до 31.12</w:t>
      </w:r>
      <w:r w:rsidR="00204167" w:rsidRPr="00204167">
        <w:rPr>
          <w:color w:val="002060"/>
          <w:lang w:val="uk-UA"/>
        </w:rPr>
        <w:t>.202</w:t>
      </w:r>
      <w:r w:rsidR="006604B2">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A17CB2">
        <w:rPr>
          <w:color w:val="002060"/>
          <w:lang w:val="uk-UA"/>
        </w:rPr>
        <w:t>9649 грн. 8</w:t>
      </w:r>
      <w:r w:rsidR="0045537D">
        <w:rPr>
          <w:color w:val="002060"/>
          <w:lang w:val="uk-UA"/>
        </w:rPr>
        <w:t xml:space="preserve">0 </w:t>
      </w:r>
      <w:r w:rsidR="0045537D" w:rsidRPr="0045537D">
        <w:rPr>
          <w:color w:val="002060"/>
          <w:lang w:val="uk-UA"/>
        </w:rPr>
        <w:t>к</w:t>
      </w:r>
      <w:r w:rsidR="00A17CB2">
        <w:rPr>
          <w:color w:val="002060"/>
          <w:lang w:val="uk-UA"/>
        </w:rPr>
        <w:t>оп. (дев’ять тисяч шістсот сорок дев’ять</w:t>
      </w:r>
      <w:r w:rsidR="00A36DB3">
        <w:rPr>
          <w:color w:val="002060"/>
          <w:lang w:val="uk-UA"/>
        </w:rPr>
        <w:t xml:space="preserve"> </w:t>
      </w:r>
      <w:r w:rsidR="00135F7C" w:rsidRPr="00251AEE">
        <w:rPr>
          <w:color w:val="002060"/>
          <w:lang w:val="uk-UA"/>
        </w:rPr>
        <w:t>грн</w:t>
      </w:r>
      <w:r w:rsidR="00A17CB2">
        <w:rPr>
          <w:color w:val="002060"/>
          <w:lang w:val="uk-UA"/>
        </w:rPr>
        <w:t>. 8</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A17CB2">
        <w:rPr>
          <w:color w:val="002060"/>
          <w:lang w:val="uk-UA"/>
        </w:rPr>
        <w:t xml:space="preserve"> у т. ч. </w:t>
      </w:r>
      <w:r w:rsidR="00395CD7">
        <w:rPr>
          <w:color w:val="002060"/>
          <w:lang w:val="uk-UA"/>
        </w:rPr>
        <w:t>ПДВ</w:t>
      </w:r>
      <w:r w:rsidR="00A17CB2">
        <w:rPr>
          <w:color w:val="002060"/>
          <w:lang w:val="uk-UA"/>
        </w:rPr>
        <w:t xml:space="preserve"> – 631грн. 30 коп. (шістсот тридцять одна грн. 30 коп.)</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6604B2">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6604B2" w:rsidP="00135F7C">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32" w:rsidRDefault="00433032" w:rsidP="00945476">
      <w:r>
        <w:separator/>
      </w:r>
    </w:p>
  </w:endnote>
  <w:endnote w:type="continuationSeparator" w:id="0">
    <w:p w:rsidR="00433032" w:rsidRDefault="00433032"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32" w:rsidRDefault="00433032" w:rsidP="00945476">
      <w:r>
        <w:separator/>
      </w:r>
    </w:p>
  </w:footnote>
  <w:footnote w:type="continuationSeparator" w:id="0">
    <w:p w:rsidR="00433032" w:rsidRDefault="00433032"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3E04"/>
    <w:rsid w:val="00015CB4"/>
    <w:rsid w:val="00020063"/>
    <w:rsid w:val="00022BFA"/>
    <w:rsid w:val="00031113"/>
    <w:rsid w:val="000406EA"/>
    <w:rsid w:val="00041010"/>
    <w:rsid w:val="00043820"/>
    <w:rsid w:val="00060962"/>
    <w:rsid w:val="00061AE9"/>
    <w:rsid w:val="00066A08"/>
    <w:rsid w:val="00070656"/>
    <w:rsid w:val="0007528E"/>
    <w:rsid w:val="00080CFB"/>
    <w:rsid w:val="00083643"/>
    <w:rsid w:val="0009167F"/>
    <w:rsid w:val="0009646F"/>
    <w:rsid w:val="00097B80"/>
    <w:rsid w:val="000A22C7"/>
    <w:rsid w:val="000B56C3"/>
    <w:rsid w:val="000C066F"/>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335"/>
    <w:rsid w:val="001757EC"/>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E46A8"/>
    <w:rsid w:val="001E60D3"/>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2447"/>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44C8A"/>
    <w:rsid w:val="003506C8"/>
    <w:rsid w:val="00351B8D"/>
    <w:rsid w:val="0035380F"/>
    <w:rsid w:val="0035706C"/>
    <w:rsid w:val="00357C82"/>
    <w:rsid w:val="00364A1A"/>
    <w:rsid w:val="00366B32"/>
    <w:rsid w:val="00367356"/>
    <w:rsid w:val="00367D94"/>
    <w:rsid w:val="003701C8"/>
    <w:rsid w:val="00373680"/>
    <w:rsid w:val="00373BF5"/>
    <w:rsid w:val="003749E7"/>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B71EF"/>
    <w:rsid w:val="003B7F07"/>
    <w:rsid w:val="003C025E"/>
    <w:rsid w:val="003C19AB"/>
    <w:rsid w:val="003C6B7D"/>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2C2"/>
    <w:rsid w:val="004128BA"/>
    <w:rsid w:val="00413047"/>
    <w:rsid w:val="00414223"/>
    <w:rsid w:val="00422459"/>
    <w:rsid w:val="00430DD6"/>
    <w:rsid w:val="00431CF0"/>
    <w:rsid w:val="00433032"/>
    <w:rsid w:val="00440C0D"/>
    <w:rsid w:val="004420EB"/>
    <w:rsid w:val="00442509"/>
    <w:rsid w:val="00442CBE"/>
    <w:rsid w:val="00442EA5"/>
    <w:rsid w:val="00445B3A"/>
    <w:rsid w:val="00445E58"/>
    <w:rsid w:val="004466C0"/>
    <w:rsid w:val="00447A6D"/>
    <w:rsid w:val="00450324"/>
    <w:rsid w:val="00454A48"/>
    <w:rsid w:val="0045537D"/>
    <w:rsid w:val="00456B79"/>
    <w:rsid w:val="00465892"/>
    <w:rsid w:val="00465948"/>
    <w:rsid w:val="00466F60"/>
    <w:rsid w:val="00467684"/>
    <w:rsid w:val="00475746"/>
    <w:rsid w:val="00475CA2"/>
    <w:rsid w:val="00482227"/>
    <w:rsid w:val="004A3414"/>
    <w:rsid w:val="004A473B"/>
    <w:rsid w:val="004A5406"/>
    <w:rsid w:val="004A73E8"/>
    <w:rsid w:val="004A7775"/>
    <w:rsid w:val="004B2FBE"/>
    <w:rsid w:val="004B5154"/>
    <w:rsid w:val="004C1020"/>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0C57"/>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4D29"/>
    <w:rsid w:val="005C6B75"/>
    <w:rsid w:val="005D1767"/>
    <w:rsid w:val="005E2255"/>
    <w:rsid w:val="005E2C65"/>
    <w:rsid w:val="005F0C0D"/>
    <w:rsid w:val="006001E3"/>
    <w:rsid w:val="0060390F"/>
    <w:rsid w:val="0061434F"/>
    <w:rsid w:val="00614820"/>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393B"/>
    <w:rsid w:val="00654896"/>
    <w:rsid w:val="00654AB4"/>
    <w:rsid w:val="00657690"/>
    <w:rsid w:val="006604B2"/>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181C"/>
    <w:rsid w:val="006B2434"/>
    <w:rsid w:val="006B3ADB"/>
    <w:rsid w:val="006B462E"/>
    <w:rsid w:val="006B4839"/>
    <w:rsid w:val="006C62FF"/>
    <w:rsid w:val="006D1BF8"/>
    <w:rsid w:val="006D47E0"/>
    <w:rsid w:val="006D75C3"/>
    <w:rsid w:val="006E4069"/>
    <w:rsid w:val="006E4D70"/>
    <w:rsid w:val="006E5ECC"/>
    <w:rsid w:val="006F0164"/>
    <w:rsid w:val="006F0B34"/>
    <w:rsid w:val="006F1E43"/>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65744"/>
    <w:rsid w:val="007849C1"/>
    <w:rsid w:val="0078562F"/>
    <w:rsid w:val="007857DB"/>
    <w:rsid w:val="0078660B"/>
    <w:rsid w:val="00786B5E"/>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1A7B"/>
    <w:rsid w:val="00831A86"/>
    <w:rsid w:val="00831F77"/>
    <w:rsid w:val="00836266"/>
    <w:rsid w:val="0083757A"/>
    <w:rsid w:val="00850F95"/>
    <w:rsid w:val="0085294E"/>
    <w:rsid w:val="00852E18"/>
    <w:rsid w:val="00853DCA"/>
    <w:rsid w:val="00854C8E"/>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152B"/>
    <w:rsid w:val="008C5610"/>
    <w:rsid w:val="008C5E6D"/>
    <w:rsid w:val="008C7B76"/>
    <w:rsid w:val="008D1535"/>
    <w:rsid w:val="008D638C"/>
    <w:rsid w:val="008D7D75"/>
    <w:rsid w:val="008E68BF"/>
    <w:rsid w:val="008E7044"/>
    <w:rsid w:val="008F134C"/>
    <w:rsid w:val="008F3C11"/>
    <w:rsid w:val="008F6EE2"/>
    <w:rsid w:val="009018B8"/>
    <w:rsid w:val="0090357F"/>
    <w:rsid w:val="00906B52"/>
    <w:rsid w:val="009105AC"/>
    <w:rsid w:val="00915575"/>
    <w:rsid w:val="00916BD0"/>
    <w:rsid w:val="0092109D"/>
    <w:rsid w:val="00922B20"/>
    <w:rsid w:val="00925D8F"/>
    <w:rsid w:val="00925EA9"/>
    <w:rsid w:val="00926F64"/>
    <w:rsid w:val="009314C5"/>
    <w:rsid w:val="0093470F"/>
    <w:rsid w:val="00934752"/>
    <w:rsid w:val="00935EC3"/>
    <w:rsid w:val="00945476"/>
    <w:rsid w:val="009562F1"/>
    <w:rsid w:val="00964541"/>
    <w:rsid w:val="00971710"/>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B0699"/>
    <w:rsid w:val="009B2D78"/>
    <w:rsid w:val="009C52EF"/>
    <w:rsid w:val="009C785F"/>
    <w:rsid w:val="009D32FC"/>
    <w:rsid w:val="009D5AE0"/>
    <w:rsid w:val="009D6E25"/>
    <w:rsid w:val="009E2DCB"/>
    <w:rsid w:val="009E4E7C"/>
    <w:rsid w:val="009E618F"/>
    <w:rsid w:val="009E7480"/>
    <w:rsid w:val="009F1E85"/>
    <w:rsid w:val="009F5245"/>
    <w:rsid w:val="00A0201D"/>
    <w:rsid w:val="00A040DC"/>
    <w:rsid w:val="00A04907"/>
    <w:rsid w:val="00A11404"/>
    <w:rsid w:val="00A1164B"/>
    <w:rsid w:val="00A12CF4"/>
    <w:rsid w:val="00A1419A"/>
    <w:rsid w:val="00A165FD"/>
    <w:rsid w:val="00A173D2"/>
    <w:rsid w:val="00A17CB2"/>
    <w:rsid w:val="00A243B7"/>
    <w:rsid w:val="00A27217"/>
    <w:rsid w:val="00A30ED8"/>
    <w:rsid w:val="00A31515"/>
    <w:rsid w:val="00A3515E"/>
    <w:rsid w:val="00A36DB3"/>
    <w:rsid w:val="00A5383C"/>
    <w:rsid w:val="00A57A18"/>
    <w:rsid w:val="00A62294"/>
    <w:rsid w:val="00A669C2"/>
    <w:rsid w:val="00A8648D"/>
    <w:rsid w:val="00A97E62"/>
    <w:rsid w:val="00AA04C4"/>
    <w:rsid w:val="00AA077B"/>
    <w:rsid w:val="00AA088B"/>
    <w:rsid w:val="00AA6378"/>
    <w:rsid w:val="00AA691F"/>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4317"/>
    <w:rsid w:val="00B069E1"/>
    <w:rsid w:val="00B06A57"/>
    <w:rsid w:val="00B10F43"/>
    <w:rsid w:val="00B2099D"/>
    <w:rsid w:val="00B20D0F"/>
    <w:rsid w:val="00B21925"/>
    <w:rsid w:val="00B21A28"/>
    <w:rsid w:val="00B23CB2"/>
    <w:rsid w:val="00B27653"/>
    <w:rsid w:val="00B276D7"/>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1BBA"/>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61362"/>
    <w:rsid w:val="00C63106"/>
    <w:rsid w:val="00C639B0"/>
    <w:rsid w:val="00C74E06"/>
    <w:rsid w:val="00C75E44"/>
    <w:rsid w:val="00C77264"/>
    <w:rsid w:val="00C7775D"/>
    <w:rsid w:val="00C81221"/>
    <w:rsid w:val="00C83AB1"/>
    <w:rsid w:val="00C83CE3"/>
    <w:rsid w:val="00C90E0A"/>
    <w:rsid w:val="00CA4A16"/>
    <w:rsid w:val="00CA71D1"/>
    <w:rsid w:val="00CA7822"/>
    <w:rsid w:val="00CB2941"/>
    <w:rsid w:val="00CB67A4"/>
    <w:rsid w:val="00CB7159"/>
    <w:rsid w:val="00CB7BED"/>
    <w:rsid w:val="00CC258A"/>
    <w:rsid w:val="00CC3CCE"/>
    <w:rsid w:val="00CC59FE"/>
    <w:rsid w:val="00CD378A"/>
    <w:rsid w:val="00CD3A60"/>
    <w:rsid w:val="00CE15CD"/>
    <w:rsid w:val="00CE1771"/>
    <w:rsid w:val="00CE3F22"/>
    <w:rsid w:val="00CE5133"/>
    <w:rsid w:val="00CE65CE"/>
    <w:rsid w:val="00CF039F"/>
    <w:rsid w:val="00CF1838"/>
    <w:rsid w:val="00CF4B3B"/>
    <w:rsid w:val="00D02D2F"/>
    <w:rsid w:val="00D03966"/>
    <w:rsid w:val="00D05573"/>
    <w:rsid w:val="00D13CA5"/>
    <w:rsid w:val="00D14A38"/>
    <w:rsid w:val="00D211AA"/>
    <w:rsid w:val="00D21BB8"/>
    <w:rsid w:val="00D235E2"/>
    <w:rsid w:val="00D23712"/>
    <w:rsid w:val="00D25BE1"/>
    <w:rsid w:val="00D26224"/>
    <w:rsid w:val="00D3543A"/>
    <w:rsid w:val="00D358FA"/>
    <w:rsid w:val="00D36FB7"/>
    <w:rsid w:val="00D37D39"/>
    <w:rsid w:val="00D42781"/>
    <w:rsid w:val="00D43265"/>
    <w:rsid w:val="00D4592C"/>
    <w:rsid w:val="00D55FEA"/>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255F"/>
    <w:rsid w:val="00DF4128"/>
    <w:rsid w:val="00DF52F9"/>
    <w:rsid w:val="00E00400"/>
    <w:rsid w:val="00E018B8"/>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669D"/>
    <w:rsid w:val="00E74ABE"/>
    <w:rsid w:val="00E750B4"/>
    <w:rsid w:val="00E76E45"/>
    <w:rsid w:val="00E84827"/>
    <w:rsid w:val="00E854E3"/>
    <w:rsid w:val="00E9022E"/>
    <w:rsid w:val="00E910CC"/>
    <w:rsid w:val="00E923A1"/>
    <w:rsid w:val="00E972B2"/>
    <w:rsid w:val="00E97F86"/>
    <w:rsid w:val="00EA2319"/>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598A"/>
    <w:rsid w:val="00FA7D7F"/>
    <w:rsid w:val="00FB02A7"/>
    <w:rsid w:val="00FB2D95"/>
    <w:rsid w:val="00FB4BB8"/>
    <w:rsid w:val="00FB58BE"/>
    <w:rsid w:val="00FC1424"/>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EF6E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F57F-C222-402D-BEA7-F325AB7F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163</cp:revision>
  <cp:lastPrinted>2022-04-12T12:02:00Z</cp:lastPrinted>
  <dcterms:created xsi:type="dcterms:W3CDTF">2022-10-28T06:19:00Z</dcterms:created>
  <dcterms:modified xsi:type="dcterms:W3CDTF">2024-03-19T11:59:00Z</dcterms:modified>
</cp:coreProperties>
</file>