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57432C">
        <w:rPr>
          <w:rFonts w:ascii="Times New Roman" w:hAnsi="Times New Roman"/>
          <w:sz w:val="24"/>
          <w:szCs w:val="24"/>
        </w:rPr>
        <w:t xml:space="preserve">                         </w:t>
      </w:r>
      <w:r w:rsidRPr="00042AAA">
        <w:rPr>
          <w:rFonts w:ascii="Times New Roman" w:hAnsi="Times New Roman"/>
          <w:sz w:val="24"/>
          <w:szCs w:val="24"/>
        </w:rPr>
        <w:t>від «</w:t>
      </w:r>
      <w:r w:rsidR="00E127C9">
        <w:rPr>
          <w:rFonts w:ascii="Times New Roman" w:hAnsi="Times New Roman"/>
          <w:sz w:val="24"/>
          <w:szCs w:val="24"/>
        </w:rPr>
        <w:t>0</w:t>
      </w:r>
      <w:r w:rsidR="00F46672">
        <w:rPr>
          <w:rFonts w:ascii="Times New Roman" w:hAnsi="Times New Roman"/>
          <w:sz w:val="24"/>
          <w:szCs w:val="24"/>
        </w:rPr>
        <w:t>8</w:t>
      </w:r>
      <w:r w:rsidRPr="00042AAA">
        <w:rPr>
          <w:rFonts w:ascii="Times New Roman" w:hAnsi="Times New Roman"/>
          <w:sz w:val="24"/>
          <w:szCs w:val="24"/>
        </w:rPr>
        <w:t>»</w:t>
      </w:r>
      <w:r w:rsidR="007415F4">
        <w:rPr>
          <w:rFonts w:ascii="Times New Roman" w:hAnsi="Times New Roman"/>
          <w:sz w:val="24"/>
          <w:szCs w:val="24"/>
        </w:rPr>
        <w:t xml:space="preserve"> </w:t>
      </w:r>
      <w:r w:rsidR="00F46672">
        <w:rPr>
          <w:rFonts w:ascii="Times New Roman" w:hAnsi="Times New Roman"/>
          <w:sz w:val="24"/>
          <w:szCs w:val="24"/>
        </w:rPr>
        <w:t>лютого</w:t>
      </w:r>
      <w:r w:rsidRPr="00042AAA">
        <w:rPr>
          <w:rFonts w:ascii="Times New Roman" w:hAnsi="Times New Roman"/>
          <w:sz w:val="24"/>
          <w:szCs w:val="24"/>
        </w:rPr>
        <w:t xml:space="preserve"> 202</w:t>
      </w:r>
      <w:r w:rsidR="00F46672">
        <w:rPr>
          <w:rFonts w:ascii="Times New Roman" w:hAnsi="Times New Roman"/>
          <w:sz w:val="24"/>
          <w:szCs w:val="24"/>
        </w:rPr>
        <w:t>4</w:t>
      </w:r>
      <w:r w:rsidRPr="00042AAA">
        <w:rPr>
          <w:rFonts w:ascii="Times New Roman" w:hAnsi="Times New Roman"/>
          <w:sz w:val="24"/>
          <w:szCs w:val="24"/>
        </w:rPr>
        <w:t xml:space="preserve"> року №</w:t>
      </w:r>
      <w:r w:rsidR="00E127C9">
        <w:rPr>
          <w:rFonts w:ascii="Times New Roman" w:hAnsi="Times New Roman"/>
          <w:sz w:val="24"/>
          <w:szCs w:val="24"/>
        </w:rPr>
        <w:t>2</w:t>
      </w:r>
      <w:r w:rsidR="00F46672">
        <w:rPr>
          <w:rFonts w:ascii="Times New Roman" w:hAnsi="Times New Roman"/>
          <w:sz w:val="24"/>
          <w:szCs w:val="24"/>
        </w:rPr>
        <w:t>3-</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w:t>
      </w:r>
      <w:proofErr w:type="spellStart"/>
      <w:r w:rsidRPr="00042AAA">
        <w:rPr>
          <w:rFonts w:ascii="Times New Roman" w:hAnsi="Times New Roman" w:cs="Times New Roman"/>
          <w:bCs/>
          <w:sz w:val="24"/>
          <w:szCs w:val="24"/>
          <w:lang w:eastAsia="ar-SA"/>
        </w:rPr>
        <w:t>____________Т.М.Побереж</w:t>
      </w:r>
      <w:proofErr w:type="spellEnd"/>
      <w:r w:rsidRPr="00042AAA">
        <w:rPr>
          <w:rFonts w:ascii="Times New Roman" w:hAnsi="Times New Roman" w:cs="Times New Roman"/>
          <w:bCs/>
          <w:sz w:val="24"/>
          <w:szCs w:val="24"/>
          <w:lang w:eastAsia="ar-SA"/>
        </w:rPr>
        <w:t>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E127C9" w:rsidRDefault="002F60CD" w:rsidP="00204350">
      <w:pPr>
        <w:pStyle w:val="ad"/>
        <w:spacing w:line="276" w:lineRule="auto"/>
        <w:jc w:val="center"/>
        <w:rPr>
          <w:b/>
          <w:szCs w:val="24"/>
          <w:lang w:val="uk-UA"/>
        </w:rPr>
      </w:pPr>
      <w:r w:rsidRPr="00E127C9">
        <w:rPr>
          <w:color w:val="000000" w:themeColor="text1"/>
          <w:szCs w:val="24"/>
          <w:lang w:val="uk-UA"/>
        </w:rPr>
        <w:t>на закупівлю</w:t>
      </w:r>
      <w:r w:rsidR="00E127C9" w:rsidRPr="00E127C9">
        <w:rPr>
          <w:color w:val="000000" w:themeColor="text1"/>
          <w:szCs w:val="24"/>
          <w:lang w:val="uk-UA"/>
        </w:rPr>
        <w:t xml:space="preserve"> </w:t>
      </w:r>
      <w:r w:rsidR="00F46672">
        <w:rPr>
          <w:color w:val="000000" w:themeColor="text1"/>
          <w:szCs w:val="24"/>
          <w:lang w:val="uk-UA"/>
        </w:rPr>
        <w:t>товару</w:t>
      </w:r>
      <w:r w:rsidRPr="00E127C9">
        <w:rPr>
          <w:color w:val="000000" w:themeColor="text1"/>
          <w:szCs w:val="24"/>
        </w:rPr>
        <w:t> </w:t>
      </w:r>
      <w:r w:rsidR="005170B2" w:rsidRPr="00E127C9">
        <w:rPr>
          <w:b/>
          <w:szCs w:val="24"/>
          <w:lang w:val="uk-UA"/>
        </w:rPr>
        <w:t xml:space="preserve">: </w:t>
      </w:r>
    </w:p>
    <w:p w:rsidR="00F46672" w:rsidRPr="005F2E56" w:rsidRDefault="00F46672" w:rsidP="00F46672">
      <w:pPr>
        <w:spacing w:after="0" w:line="240" w:lineRule="auto"/>
        <w:jc w:val="center"/>
        <w:rPr>
          <w:rFonts w:ascii="Times New Roman" w:hAnsi="Times New Roman" w:cs="Times New Roman"/>
          <w:b/>
          <w:sz w:val="24"/>
          <w:szCs w:val="24"/>
        </w:rPr>
      </w:pPr>
      <w:r w:rsidRPr="005F2E56">
        <w:rPr>
          <w:rFonts w:ascii="Times New Roman" w:hAnsi="Times New Roman" w:cs="Times New Roman"/>
          <w:b/>
          <w:sz w:val="24"/>
          <w:szCs w:val="24"/>
        </w:rPr>
        <w:t xml:space="preserve">код </w:t>
      </w:r>
      <w:proofErr w:type="spellStart"/>
      <w:r w:rsidRPr="005F2E56">
        <w:rPr>
          <w:rFonts w:ascii="Times New Roman" w:eastAsia="Times New Roman" w:hAnsi="Times New Roman" w:cs="Times New Roman"/>
          <w:b/>
          <w:sz w:val="24"/>
          <w:szCs w:val="24"/>
        </w:rPr>
        <w:t>ДК</w:t>
      </w:r>
      <w:proofErr w:type="spellEnd"/>
      <w:r w:rsidRPr="005F2E56">
        <w:rPr>
          <w:rFonts w:ascii="Times New Roman" w:eastAsia="Times New Roman" w:hAnsi="Times New Roman" w:cs="Times New Roman"/>
          <w:b/>
          <w:sz w:val="24"/>
          <w:szCs w:val="24"/>
        </w:rPr>
        <w:t xml:space="preserve"> 021:2015 - </w:t>
      </w:r>
      <w:r w:rsidRPr="005F2E56">
        <w:rPr>
          <w:rFonts w:ascii="Times New Roman" w:hAnsi="Times New Roman" w:cs="Times New Roman"/>
          <w:b/>
          <w:sz w:val="24"/>
          <w:szCs w:val="24"/>
        </w:rPr>
        <w:t>32350000-1</w:t>
      </w:r>
    </w:p>
    <w:p w:rsidR="00F46672" w:rsidRPr="005F2E56" w:rsidRDefault="00F46672" w:rsidP="00F46672">
      <w:pPr>
        <w:pStyle w:val="WW-1"/>
        <w:jc w:val="center"/>
        <w:rPr>
          <w:b/>
          <w:sz w:val="24"/>
          <w:szCs w:val="24"/>
        </w:rPr>
      </w:pPr>
      <w:r w:rsidRPr="005F2E56">
        <w:rPr>
          <w:b/>
          <w:sz w:val="24"/>
          <w:szCs w:val="24"/>
        </w:rPr>
        <w:t xml:space="preserve">Частини до </w:t>
      </w:r>
      <w:proofErr w:type="spellStart"/>
      <w:r w:rsidRPr="005F2E56">
        <w:rPr>
          <w:b/>
          <w:sz w:val="24"/>
          <w:szCs w:val="24"/>
        </w:rPr>
        <w:t>аудіо-</w:t>
      </w:r>
      <w:proofErr w:type="spellEnd"/>
      <w:r w:rsidRPr="005F2E56">
        <w:rPr>
          <w:b/>
          <w:sz w:val="24"/>
          <w:szCs w:val="24"/>
        </w:rPr>
        <w:t xml:space="preserve"> та відео обладнання</w:t>
      </w:r>
      <w:r w:rsidRPr="005F2E56">
        <w:rPr>
          <w:rFonts w:eastAsia="Times New Roman"/>
          <w:b/>
          <w:sz w:val="24"/>
          <w:szCs w:val="24"/>
        </w:rPr>
        <w:t xml:space="preserve">  (</w:t>
      </w:r>
      <w:r>
        <w:rPr>
          <w:rFonts w:eastAsia="Times New Roman"/>
          <w:b/>
          <w:sz w:val="24"/>
          <w:szCs w:val="24"/>
        </w:rPr>
        <w:t>Суха медична</w:t>
      </w:r>
      <w:r w:rsidRPr="005F2E56">
        <w:rPr>
          <w:b/>
          <w:bCs/>
          <w:sz w:val="24"/>
          <w:szCs w:val="24"/>
          <w:lang w:eastAsia="uk-UA"/>
        </w:rPr>
        <w:t xml:space="preserve"> плівка</w:t>
      </w:r>
      <w:r>
        <w:rPr>
          <w:b/>
          <w:bCs/>
          <w:sz w:val="24"/>
          <w:szCs w:val="24"/>
          <w:lang w:eastAsia="uk-UA"/>
        </w:rPr>
        <w:t xml:space="preserve"> та стоматологічна плівка</w:t>
      </w:r>
      <w:r w:rsidRPr="005F2E56">
        <w:rPr>
          <w:b/>
          <w:bCs/>
          <w:sz w:val="24"/>
          <w:szCs w:val="24"/>
          <w:lang w:eastAsia="uk-UA"/>
        </w:rPr>
        <w:t>)</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Pr="007931EE" w:rsidRDefault="005170B2" w:rsidP="00204350">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proofErr w:type="spellStart"/>
      <w:r w:rsidRPr="005170B2">
        <w:rPr>
          <w:rFonts w:ascii="Times New Roman" w:hAnsi="Times New Roman" w:cs="Times New Roman"/>
          <w:b/>
          <w:bCs/>
          <w:color w:val="000000"/>
          <w:sz w:val="24"/>
          <w:szCs w:val="24"/>
          <w:lang w:eastAsia="ar-SA"/>
        </w:rPr>
        <w:t>смт</w:t>
      </w:r>
      <w:proofErr w:type="spellEnd"/>
      <w:r w:rsidRPr="005170B2">
        <w:rPr>
          <w:rFonts w:ascii="Times New Roman" w:hAnsi="Times New Roman" w:cs="Times New Roman"/>
          <w:b/>
          <w:bCs/>
          <w:color w:val="000000"/>
          <w:sz w:val="24"/>
          <w:szCs w:val="24"/>
          <w:lang w:eastAsia="ar-SA"/>
        </w:rPr>
        <w:t>. Зарічне – 202</w:t>
      </w:r>
      <w:r w:rsidR="00F46672">
        <w:rPr>
          <w:rFonts w:ascii="Times New Roman" w:hAnsi="Times New Roman" w:cs="Times New Roman"/>
          <w:b/>
          <w:bCs/>
          <w:color w:val="000000"/>
          <w:sz w:val="24"/>
          <w:szCs w:val="24"/>
          <w:lang w:eastAsia="ar-SA"/>
        </w:rPr>
        <w:t>4</w:t>
      </w:r>
    </w:p>
    <w:p w:rsidR="005170B2" w:rsidRDefault="005170B2">
      <w:pPr>
        <w:spacing w:after="0" w:line="240" w:lineRule="auto"/>
        <w:jc w:val="both"/>
        <w:rPr>
          <w:rFonts w:ascii="Times New Roman" w:eastAsia="Times New Roman" w:hAnsi="Times New Roman" w:cs="Times New Roman"/>
          <w:sz w:val="24"/>
          <w:szCs w:val="24"/>
        </w:rPr>
      </w:pPr>
    </w:p>
    <w:p w:rsidR="0057432C" w:rsidRDefault="0057432C">
      <w:pPr>
        <w:spacing w:after="0" w:line="240" w:lineRule="auto"/>
        <w:jc w:val="both"/>
        <w:rPr>
          <w:rFonts w:ascii="Times New Roman" w:eastAsia="Times New Roman" w:hAnsi="Times New Roman" w:cs="Times New Roman"/>
          <w:sz w:val="24"/>
          <w:szCs w:val="24"/>
        </w:rPr>
      </w:pPr>
    </w:p>
    <w:p w:rsidR="0057432C" w:rsidRDefault="0057432C">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w:t>
            </w:r>
            <w:r w:rsidR="0057432C">
              <w:rPr>
                <w:rFonts w:ascii="Times New Roman" w:hAnsi="Times New Roman" w:cs="Times New Roman"/>
                <w:color w:val="000000"/>
                <w:sz w:val="24"/>
                <w:szCs w:val="24"/>
              </w:rPr>
              <w:t xml:space="preserve">зі змінами, </w:t>
            </w:r>
            <w:r w:rsidRPr="007415F4">
              <w:rPr>
                <w:rFonts w:ascii="Times New Roman" w:hAnsi="Times New Roman" w:cs="Times New Roman"/>
                <w:color w:val="000000"/>
                <w:sz w:val="24"/>
                <w:szCs w:val="24"/>
              </w:rPr>
              <w:t>далі – Особливості)</w:t>
            </w:r>
            <w:r w:rsidR="00E127C9">
              <w:rPr>
                <w:rFonts w:ascii="Times New Roman" w:hAnsi="Times New Roman" w:cs="Times New Roman"/>
                <w:color w:val="000000"/>
                <w:sz w:val="24"/>
                <w:szCs w:val="24"/>
              </w:rPr>
              <w:t xml:space="preserve"> </w:t>
            </w:r>
            <w:r w:rsidRPr="007415F4">
              <w:rPr>
                <w:rFonts w:ascii="Times New Roman" w:hAnsi="Times New Roman" w:cs="Times New Roman"/>
                <w:color w:val="000000"/>
                <w:sz w:val="24"/>
                <w:szCs w:val="24"/>
              </w:rPr>
              <w:t>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Комунальне некомерційне підприємство "</w:t>
            </w:r>
            <w:proofErr w:type="spellStart"/>
            <w:r>
              <w:rPr>
                <w:rFonts w:ascii="Times New Roman" w:hAnsi="Times New Roman" w:cs="Times New Roman"/>
                <w:b/>
                <w:bCs/>
                <w:sz w:val="24"/>
                <w:szCs w:val="24"/>
              </w:rPr>
              <w:t>Зарічненська</w:t>
            </w:r>
            <w:proofErr w:type="spellEnd"/>
            <w:r>
              <w:rPr>
                <w:rFonts w:ascii="Times New Roman" w:hAnsi="Times New Roman" w:cs="Times New Roman"/>
                <w:b/>
                <w:bCs/>
                <w:sz w:val="24"/>
                <w:szCs w:val="24"/>
              </w:rPr>
              <w:t xml:space="preserve">  багатопрофільна лікарня" </w:t>
            </w:r>
            <w:proofErr w:type="spellStart"/>
            <w:r>
              <w:rPr>
                <w:rFonts w:ascii="Times New Roman" w:hAnsi="Times New Roman" w:cs="Times New Roman"/>
                <w:b/>
                <w:bCs/>
                <w:sz w:val="24"/>
                <w:szCs w:val="24"/>
              </w:rPr>
              <w:t>Зарічненської</w:t>
            </w:r>
            <w:proofErr w:type="spellEnd"/>
            <w:r>
              <w:rPr>
                <w:rFonts w:ascii="Times New Roman" w:hAnsi="Times New Roman" w:cs="Times New Roman"/>
                <w:b/>
                <w:bCs/>
                <w:sz w:val="24"/>
                <w:szCs w:val="24"/>
              </w:rPr>
              <w:t xml:space="preserve"> селищної ради </w:t>
            </w:r>
            <w:proofErr w:type="spellStart"/>
            <w:r>
              <w:rPr>
                <w:rFonts w:ascii="Times New Roman" w:hAnsi="Times New Roman" w:cs="Times New Roman"/>
                <w:b/>
                <w:bCs/>
                <w:sz w:val="24"/>
                <w:szCs w:val="24"/>
              </w:rPr>
              <w:t>Вараського</w:t>
            </w:r>
            <w:proofErr w:type="spellEnd"/>
            <w:r>
              <w:rPr>
                <w:rFonts w:ascii="Times New Roman" w:hAnsi="Times New Roman" w:cs="Times New Roman"/>
                <w:b/>
                <w:bCs/>
                <w:sz w:val="24"/>
                <w:szCs w:val="24"/>
              </w:rPr>
              <w:t xml:space="preserve">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3B22A7" w:rsidRDefault="00773967" w:rsidP="00E127C9">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p>
          <w:p w:rsidR="00773967" w:rsidRDefault="00773967" w:rsidP="00E127C9">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1F0621" w:rsidRPr="00AC40C9" w:rsidRDefault="00AC40C9" w:rsidP="00AC40C9">
            <w:pPr>
              <w:jc w:val="both"/>
              <w:rPr>
                <w:rFonts w:ascii="Times New Roman" w:hAnsi="Times New Roman" w:cs="Times New Roman"/>
                <w:b/>
                <w:sz w:val="24"/>
                <w:szCs w:val="24"/>
              </w:rPr>
            </w:pPr>
            <w:r w:rsidRPr="00AC40C9">
              <w:rPr>
                <w:rFonts w:ascii="Times New Roman" w:hAnsi="Times New Roman" w:cs="Times New Roman"/>
                <w:sz w:val="24"/>
                <w:szCs w:val="24"/>
              </w:rPr>
              <w:t xml:space="preserve">код </w:t>
            </w:r>
            <w:proofErr w:type="spellStart"/>
            <w:r w:rsidRPr="00AC40C9">
              <w:rPr>
                <w:rFonts w:ascii="Times New Roman" w:eastAsia="Times New Roman" w:hAnsi="Times New Roman" w:cs="Times New Roman"/>
                <w:sz w:val="24"/>
                <w:szCs w:val="24"/>
              </w:rPr>
              <w:t>ДК</w:t>
            </w:r>
            <w:proofErr w:type="spellEnd"/>
            <w:r w:rsidRPr="00AC40C9">
              <w:rPr>
                <w:rFonts w:ascii="Times New Roman" w:eastAsia="Times New Roman" w:hAnsi="Times New Roman" w:cs="Times New Roman"/>
                <w:sz w:val="24"/>
                <w:szCs w:val="24"/>
              </w:rPr>
              <w:t xml:space="preserve"> 021:2015 - </w:t>
            </w:r>
            <w:r w:rsidRPr="00AC40C9">
              <w:rPr>
                <w:rFonts w:ascii="Times New Roman" w:hAnsi="Times New Roman" w:cs="Times New Roman"/>
                <w:sz w:val="24"/>
                <w:szCs w:val="24"/>
              </w:rPr>
              <w:t xml:space="preserve">32350000-1 Частини до </w:t>
            </w:r>
            <w:proofErr w:type="spellStart"/>
            <w:r w:rsidRPr="00AC40C9">
              <w:rPr>
                <w:rFonts w:ascii="Times New Roman" w:hAnsi="Times New Roman" w:cs="Times New Roman"/>
                <w:sz w:val="24"/>
                <w:szCs w:val="24"/>
              </w:rPr>
              <w:t>аудіо-</w:t>
            </w:r>
            <w:proofErr w:type="spellEnd"/>
            <w:r w:rsidRPr="00AC40C9">
              <w:rPr>
                <w:rFonts w:ascii="Times New Roman" w:hAnsi="Times New Roman" w:cs="Times New Roman"/>
                <w:sz w:val="24"/>
                <w:szCs w:val="24"/>
              </w:rPr>
              <w:t xml:space="preserve"> та відео обладнання</w:t>
            </w:r>
            <w:r w:rsidRPr="00AC40C9">
              <w:rPr>
                <w:rFonts w:ascii="Times New Roman" w:eastAsia="Times New Roman" w:hAnsi="Times New Roman" w:cs="Times New Roman"/>
                <w:sz w:val="24"/>
                <w:szCs w:val="24"/>
              </w:rPr>
              <w:t xml:space="preserve">  (Суха медична</w:t>
            </w:r>
            <w:r w:rsidRPr="00AC40C9">
              <w:rPr>
                <w:rFonts w:ascii="Times New Roman" w:hAnsi="Times New Roman" w:cs="Times New Roman"/>
                <w:bCs/>
                <w:sz w:val="24"/>
                <w:szCs w:val="24"/>
                <w:lang w:eastAsia="uk-UA"/>
              </w:rPr>
              <w:t xml:space="preserve"> плівка та стоматологічна плівка)</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Pr="00204350" w:rsidRDefault="00773967" w:rsidP="00204350">
            <w:pPr>
              <w:widowControl w:val="0"/>
              <w:ind w:right="120"/>
              <w:jc w:val="both"/>
              <w:rPr>
                <w:rFonts w:ascii="Times New Roman" w:eastAsia="Times New Roman" w:hAnsi="Times New Roman" w:cs="Times New Roman"/>
                <w:sz w:val="24"/>
                <w:szCs w:val="24"/>
              </w:rPr>
            </w:pPr>
            <w:r w:rsidRPr="00204350">
              <w:rPr>
                <w:rFonts w:ascii="Times New Roman" w:eastAsia="Times New Roman" w:hAnsi="Times New Roman" w:cs="Times New Roman"/>
                <w:color w:val="000000"/>
                <w:sz w:val="24"/>
                <w:szCs w:val="24"/>
              </w:rPr>
              <w:t>Закупівля здійснюється щодо предмет</w:t>
            </w:r>
            <w:r w:rsidRPr="00204350">
              <w:rPr>
                <w:rFonts w:ascii="Times New Roman" w:eastAsia="Times New Roman" w:hAnsi="Times New Roman" w:cs="Times New Roman"/>
                <w:sz w:val="24"/>
                <w:szCs w:val="24"/>
              </w:rPr>
              <w:t>а</w:t>
            </w:r>
            <w:r w:rsidRPr="00204350">
              <w:rPr>
                <w:rFonts w:ascii="Times New Roman" w:eastAsia="Times New Roman" w:hAnsi="Times New Roman" w:cs="Times New Roman"/>
                <w:color w:val="000000"/>
                <w:sz w:val="24"/>
                <w:szCs w:val="24"/>
              </w:rPr>
              <w:t xml:space="preserve"> закупівлі в цілому.</w:t>
            </w:r>
          </w:p>
          <w:p w:rsidR="00773967" w:rsidRPr="00204350" w:rsidRDefault="00773967" w:rsidP="00204350">
            <w:pPr>
              <w:widowControl w:val="0"/>
              <w:ind w:right="120"/>
              <w:jc w:val="both"/>
              <w:rPr>
                <w:rFonts w:ascii="Times New Roman" w:eastAsia="Times New Roman" w:hAnsi="Times New Roman" w:cs="Times New Roman"/>
                <w:i/>
                <w:color w:val="FF0000"/>
                <w:sz w:val="24"/>
                <w:szCs w:val="24"/>
                <w:highlight w:val="yellow"/>
              </w:rPr>
            </w:pPr>
          </w:p>
        </w:tc>
      </w:tr>
      <w:tr w:rsidR="00773967" w:rsidTr="002B7578">
        <w:trPr>
          <w:trHeight w:val="416"/>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F46672" w:rsidRDefault="00F46672" w:rsidP="00F4667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rsidP="00F46672">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AC40C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найменування</w:t>
            </w:r>
            <w:r w:rsidR="003B22A7">
              <w:rPr>
                <w:rFonts w:ascii="Times New Roman" w:eastAsia="Times New Roman" w:hAnsi="Times New Roman" w:cs="Times New Roman"/>
                <w:color w:val="000000"/>
                <w:sz w:val="24"/>
                <w:szCs w:val="24"/>
              </w:rPr>
              <w:t xml:space="preserve"> з</w:t>
            </w:r>
            <w:r w:rsidR="006113C1">
              <w:rPr>
                <w:rFonts w:ascii="Times New Roman" w:eastAsia="Times New Roman" w:hAnsi="Times New Roman" w:cs="Times New Roman"/>
                <w:color w:val="000000"/>
                <w:sz w:val="24"/>
                <w:szCs w:val="24"/>
              </w:rPr>
              <w:t>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Комунальне некомерційне підприємство "</w:t>
            </w:r>
            <w:proofErr w:type="spellStart"/>
            <w:r>
              <w:rPr>
                <w:rFonts w:ascii="Times New Roman" w:hAnsi="Times New Roman" w:cs="Times New Roman"/>
                <w:bCs/>
                <w:sz w:val="24"/>
                <w:szCs w:val="24"/>
              </w:rPr>
              <w:t>Зарічненська</w:t>
            </w:r>
            <w:proofErr w:type="spellEnd"/>
            <w:r>
              <w:rPr>
                <w:rFonts w:ascii="Times New Roman" w:hAnsi="Times New Roman" w:cs="Times New Roman"/>
                <w:bCs/>
                <w:sz w:val="24"/>
                <w:szCs w:val="24"/>
              </w:rPr>
              <w:t xml:space="preserve">  багатопрофільна лікарня" </w:t>
            </w:r>
            <w:proofErr w:type="spellStart"/>
            <w:r>
              <w:rPr>
                <w:rFonts w:ascii="Times New Roman" w:hAnsi="Times New Roman" w:cs="Times New Roman"/>
                <w:bCs/>
                <w:sz w:val="24"/>
                <w:szCs w:val="24"/>
              </w:rPr>
              <w:t>Зарічненської</w:t>
            </w:r>
            <w:proofErr w:type="spellEnd"/>
            <w:r>
              <w:rPr>
                <w:rFonts w:ascii="Times New Roman" w:hAnsi="Times New Roman" w:cs="Times New Roman"/>
                <w:bCs/>
                <w:sz w:val="24"/>
                <w:szCs w:val="24"/>
              </w:rPr>
              <w:t xml:space="preserve"> селищної ради </w:t>
            </w:r>
            <w:proofErr w:type="spellStart"/>
            <w:r>
              <w:rPr>
                <w:rFonts w:ascii="Times New Roman" w:hAnsi="Times New Roman" w:cs="Times New Roman"/>
                <w:bCs/>
                <w:sz w:val="24"/>
                <w:szCs w:val="24"/>
              </w:rPr>
              <w:t>Вараського</w:t>
            </w:r>
            <w:proofErr w:type="spellEnd"/>
            <w:r>
              <w:rPr>
                <w:rFonts w:ascii="Times New Roman" w:hAnsi="Times New Roman" w:cs="Times New Roman"/>
                <w:bCs/>
                <w:sz w:val="24"/>
                <w:szCs w:val="24"/>
              </w:rPr>
              <w:t xml:space="preserve">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 xml:space="preserve">34000, Рівненська область, </w:t>
            </w:r>
            <w:proofErr w:type="spellStart"/>
            <w:r w:rsidR="00D33E65" w:rsidRPr="00D33E65">
              <w:rPr>
                <w:rFonts w:ascii="Times New Roman" w:hAnsi="Times New Roman" w:cs="Times New Roman"/>
                <w:color w:val="000000"/>
                <w:sz w:val="24"/>
                <w:szCs w:val="24"/>
                <w:lang w:eastAsia="uk-UA"/>
              </w:rPr>
              <w:t>Вараський</w:t>
            </w:r>
            <w:proofErr w:type="spellEnd"/>
            <w:r w:rsidR="00D33E65" w:rsidRPr="00D33E65">
              <w:rPr>
                <w:rFonts w:ascii="Times New Roman" w:hAnsi="Times New Roman" w:cs="Times New Roman"/>
                <w:color w:val="000000"/>
                <w:sz w:val="24"/>
                <w:szCs w:val="24"/>
                <w:lang w:eastAsia="uk-UA"/>
              </w:rPr>
              <w:t xml:space="preserve">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773967" w:rsidRDefault="00F46672" w:rsidP="00F466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надання послуг </w:t>
            </w:r>
          </w:p>
        </w:tc>
        <w:tc>
          <w:tcPr>
            <w:tcW w:w="6255" w:type="dxa"/>
          </w:tcPr>
          <w:p w:rsidR="00773967" w:rsidRDefault="00773967" w:rsidP="003B22A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3B22A7">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3B22A7">
              <w:rPr>
                <w:rFonts w:ascii="Times New Roman" w:eastAsia="Times New Roman" w:hAnsi="Times New Roman" w:cs="Times New Roman"/>
                <w:color w:val="000000"/>
                <w:sz w:val="24"/>
                <w:szCs w:val="24"/>
              </w:rPr>
              <w:t xml:space="preserve"> </w:t>
            </w:r>
            <w:r w:rsidR="00A24684">
              <w:rPr>
                <w:rFonts w:ascii="Times New Roman" w:eastAsia="Times New Roman" w:hAnsi="Times New Roman" w:cs="Times New Roman"/>
                <w:color w:val="000000"/>
                <w:sz w:val="24"/>
                <w:szCs w:val="24"/>
              </w:rPr>
              <w:t>202</w:t>
            </w:r>
            <w:r w:rsidR="003B22A7">
              <w:rPr>
                <w:rFonts w:ascii="Times New Roman" w:eastAsia="Times New Roman" w:hAnsi="Times New Roman" w:cs="Times New Roman"/>
                <w:color w:val="000000"/>
                <w:sz w:val="24"/>
                <w:szCs w:val="24"/>
              </w:rPr>
              <w:t>4</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2400E3">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E511A4">
              <w:rPr>
                <w:rFonts w:ascii="Times New Roman" w:hAnsi="Times New Roman" w:cs="Times New Roman"/>
                <w:color w:val="000000"/>
                <w:sz w:val="24"/>
                <w:szCs w:val="24"/>
              </w:rPr>
              <w:lastRenderedPageBreak/>
              <w:t>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E511A4">
              <w:rPr>
                <w:rFonts w:ascii="Times New Roman" w:hAnsi="Times New Roman" w:cs="Times New Roman"/>
                <w:color w:val="000000"/>
                <w:sz w:val="24"/>
                <w:szCs w:val="24"/>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інформацією</w:t>
            </w:r>
            <w:proofErr w:type="spellEnd"/>
            <w:r w:rsidR="00304D90"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w:t>
            </w:r>
            <w:proofErr w:type="spellEnd"/>
            <w:r w:rsidR="00672EBC"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 xml:space="preserve">чотири дні з дати оприлюднення в </w:t>
            </w:r>
            <w:r w:rsidRPr="00105D47">
              <w:rPr>
                <w:rFonts w:ascii="Times New Roman" w:eastAsia="Times New Roman" w:hAnsi="Times New Roman" w:cs="Times New Roman"/>
                <w:b/>
                <w:i/>
                <w:sz w:val="24"/>
                <w:szCs w:val="24"/>
                <w:u w:val="single"/>
              </w:rPr>
              <w:lastRenderedPageBreak/>
              <w:t>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 xml:space="preserve">Невірна назва документа (документів), що </w:t>
            </w:r>
            <w:r w:rsidRPr="00105D47">
              <w:rPr>
                <w:rFonts w:ascii="Times New Roman" w:eastAsia="Times New Roman" w:hAnsi="Times New Roman" w:cs="Times New Roman"/>
                <w:sz w:val="24"/>
                <w:szCs w:val="24"/>
              </w:rPr>
              <w:lastRenderedPageBreak/>
              <w:t>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lastRenderedPageBreak/>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 xml:space="preserve">Оскільки предметом закупівлі є </w:t>
            </w:r>
            <w:r w:rsidR="003B22A7">
              <w:rPr>
                <w:rFonts w:ascii="Times New Roman" w:hAnsi="Times New Roman" w:cs="Times New Roman"/>
                <w:color w:val="000000"/>
                <w:sz w:val="24"/>
                <w:szCs w:val="24"/>
              </w:rPr>
              <w:t>послуга</w:t>
            </w:r>
            <w:r w:rsidR="00322607" w:rsidRPr="00322607">
              <w:rPr>
                <w:rFonts w:ascii="Times New Roman" w:hAnsi="Times New Roman" w:cs="Times New Roman"/>
                <w:color w:val="000000"/>
                <w:sz w:val="24"/>
                <w:szCs w:val="24"/>
              </w:rPr>
              <w:t>,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542715" w:rsidP="00AC40C9">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AC40C9">
              <w:rPr>
                <w:rFonts w:ascii="Times New Roman" w:eastAsia="Times New Roman" w:hAnsi="Times New Roman" w:cs="Times New Roman"/>
                <w:b/>
                <w:color w:val="000000"/>
                <w:sz w:val="24"/>
                <w:szCs w:val="24"/>
              </w:rPr>
              <w:t>9</w:t>
            </w:r>
            <w:r w:rsidR="00E47A4D">
              <w:rPr>
                <w:rFonts w:ascii="Times New Roman" w:eastAsia="Times New Roman" w:hAnsi="Times New Roman" w:cs="Times New Roman"/>
                <w:b/>
                <w:color w:val="000000"/>
                <w:sz w:val="24"/>
                <w:szCs w:val="24"/>
              </w:rPr>
              <w:t xml:space="preserve"> </w:t>
            </w:r>
            <w:r w:rsidR="00AC40C9">
              <w:rPr>
                <w:rFonts w:ascii="Times New Roman" w:eastAsia="Times New Roman" w:hAnsi="Times New Roman" w:cs="Times New Roman"/>
                <w:b/>
                <w:color w:val="000000"/>
                <w:sz w:val="24"/>
                <w:szCs w:val="24"/>
              </w:rPr>
              <w:t>лютого</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AC40C9">
              <w:rPr>
                <w:rFonts w:ascii="Times New Roman" w:eastAsia="Times New Roman" w:hAnsi="Times New Roman" w:cs="Times New Roman"/>
                <w:b/>
                <w:sz w:val="24"/>
                <w:szCs w:val="24"/>
              </w:rPr>
              <w:t>4</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5A605F" w:rsidRDefault="005A605F" w:rsidP="005A605F">
            <w:pPr>
              <w:pStyle w:val="ad"/>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електронного</w:t>
            </w:r>
            <w:proofErr w:type="spellEnd"/>
            <w:r>
              <w:rPr>
                <w:color w:val="000000"/>
              </w:rPr>
              <w:t xml:space="preserve"> </w:t>
            </w:r>
            <w:proofErr w:type="spellStart"/>
            <w:r>
              <w:rPr>
                <w:color w:val="000000"/>
              </w:rPr>
              <w:t>аукціону</w:t>
            </w:r>
            <w:proofErr w:type="spellEnd"/>
            <w:r>
              <w:rPr>
                <w:color w:val="000000"/>
              </w:rPr>
              <w:t>.</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13393">
              <w:rPr>
                <w:rFonts w:ascii="Times New Roman" w:hAnsi="Times New Roman" w:cs="Times New Roman"/>
                <w:sz w:val="24"/>
              </w:rPr>
              <w:lastRenderedPageBreak/>
              <w:t xml:space="preserve">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FE7ABD" w:rsidRPr="00FE7ABD" w:rsidRDefault="00FE7ABD" w:rsidP="007744A8">
            <w:pPr>
              <w:widowControl w:val="0"/>
              <w:jc w:val="both"/>
              <w:rPr>
                <w:rFonts w:ascii="Times New Roman" w:eastAsia="Times New Roman" w:hAnsi="Times New Roman" w:cs="Times New Roman"/>
                <w:sz w:val="24"/>
                <w:szCs w:val="24"/>
                <w:highlight w:val="yellow"/>
              </w:rPr>
            </w:pPr>
            <w:r w:rsidRPr="00B9373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20AF">
              <w:rPr>
                <w:rFonts w:ascii="Times New Roman" w:eastAsia="Times New Roman" w:hAnsi="Times New Roman" w:cs="Times New Roman"/>
                <w:sz w:val="24"/>
                <w:szCs w:val="24"/>
                <w:highlight w:val="white"/>
                <w:lang w:val="ru-RU"/>
              </w:rPr>
              <w:t>0.</w:t>
            </w:r>
            <w:r w:rsidRPr="00175CCC">
              <w:rPr>
                <w:rFonts w:ascii="Times New Roman" w:eastAsia="Times New Roman" w:hAnsi="Times New Roman" w:cs="Times New Roman"/>
                <w:sz w:val="24"/>
                <w:szCs w:val="24"/>
                <w:highlight w:val="white"/>
                <w:lang w:val="ru-RU"/>
              </w:rPr>
              <w:t>5</w:t>
            </w:r>
            <w:r w:rsidRPr="00B93735">
              <w:rPr>
                <w:rFonts w:ascii="Times New Roman" w:eastAsia="Times New Roman" w:hAnsi="Times New Roman" w:cs="Times New Roman"/>
                <w:sz w:val="24"/>
                <w:szCs w:val="24"/>
                <w:highlight w:val="white"/>
              </w:rPr>
              <w:t xml:space="preserve"> %.</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2367AC">
              <w:rPr>
                <w:rFonts w:ascii="Times New Roman" w:hAnsi="Times New Roman" w:cs="Times New Roman"/>
                <w:color w:val="000000"/>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Pr>
                <w:rFonts w:ascii="Times New Roman" w:eastAsia="Times New Roman" w:hAnsi="Times New Roman" w:cs="Times New Roman"/>
                <w:color w:val="000000"/>
                <w:sz w:val="24"/>
                <w:szCs w:val="24"/>
              </w:rPr>
              <w:lastRenderedPageBreak/>
              <w:t xml:space="preserve">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Pr>
                <w:rFonts w:ascii="Times New Roman" w:eastAsia="Times New Roman" w:hAnsi="Times New Roman" w:cs="Times New Roman"/>
                <w:color w:val="000000"/>
                <w:sz w:val="24"/>
                <w:szCs w:val="24"/>
              </w:rPr>
              <w:lastRenderedPageBreak/>
              <w:t>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Pr>
                <w:rFonts w:ascii="Times New Roman" w:eastAsia="Times New Roman" w:hAnsi="Times New Roman" w:cs="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підпадає під підстави, встановлені пунктом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визначив конфіденційною інформацію, що не може бути </w:t>
            </w:r>
            <w:r w:rsidR="003660C2" w:rsidRPr="003660C2">
              <w:rPr>
                <w:rFonts w:ascii="Times New Roman" w:hAnsi="Times New Roman" w:cs="Times New Roman"/>
                <w:color w:val="000000"/>
                <w:sz w:val="24"/>
                <w:szCs w:val="24"/>
              </w:rPr>
              <w:lastRenderedPageBreak/>
              <w:t>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660C2" w:rsidRPr="003660C2">
              <w:rPr>
                <w:rFonts w:ascii="Times New Roman" w:hAnsi="Times New Roman" w:cs="Times New Roman"/>
                <w:color w:val="000000"/>
                <w:sz w:val="24"/>
                <w:szCs w:val="24"/>
              </w:rPr>
              <w:t>бенефіціарним</w:t>
            </w:r>
            <w:proofErr w:type="spellEnd"/>
            <w:r w:rsidR="003660C2"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публічні </w:t>
            </w:r>
            <w:proofErr w:type="spellStart"/>
            <w:r w:rsidR="003660C2" w:rsidRPr="003660C2">
              <w:rPr>
                <w:rFonts w:ascii="Times New Roman" w:hAnsi="Times New Roman" w:cs="Times New Roman"/>
                <w:color w:val="000000"/>
                <w:sz w:val="24"/>
                <w:szCs w:val="24"/>
              </w:rPr>
              <w:t>закупівлі”</w:t>
            </w:r>
            <w:proofErr w:type="spellEnd"/>
            <w:r w:rsidR="003660C2" w:rsidRPr="003660C2">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003660C2" w:rsidRPr="003660C2">
              <w:rPr>
                <w:rFonts w:ascii="Times New Roman" w:hAnsi="Times New Roman" w:cs="Times New Roman"/>
                <w:color w:val="000000"/>
                <w:sz w:val="24"/>
                <w:szCs w:val="24"/>
              </w:rPr>
              <w:t>скасування”</w:t>
            </w:r>
            <w:proofErr w:type="spellEnd"/>
            <w:r w:rsidR="003660C2" w:rsidRPr="003660C2">
              <w:rPr>
                <w:rFonts w:ascii="Times New Roman" w:hAnsi="Times New Roman" w:cs="Times New Roman"/>
                <w:color w:val="000000"/>
                <w:sz w:val="24"/>
                <w:szCs w:val="24"/>
              </w:rPr>
              <w:t xml:space="preserve">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не відповідає вимогам, установленим у тендерній </w:t>
            </w:r>
            <w:r w:rsidRPr="002367AC">
              <w:rPr>
                <w:rFonts w:ascii="Times New Roman" w:hAnsi="Times New Roman" w:cs="Times New Roman"/>
                <w:color w:val="000000"/>
                <w:sz w:val="24"/>
                <w:szCs w:val="24"/>
              </w:rPr>
              <w:lastRenderedPageBreak/>
              <w:t>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 xml:space="preserve">перерахунку ціни в бік зменшення ціни тендерної пропозиції переможця без зменшення обсягів </w:t>
            </w:r>
            <w:r w:rsidRPr="003C7EDC">
              <w:rPr>
                <w:color w:val="000000"/>
                <w:shd w:val="clear" w:color="auto" w:fill="FFFFFF"/>
              </w:rPr>
              <w:lastRenderedPageBreak/>
              <w:t>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0873A9">
        <w:trPr>
          <w:trHeight w:val="69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r>
            <w:r w:rsidRPr="00DC7DD6">
              <w:rPr>
                <w:rFonts w:ascii="Times New Roman" w:hAnsi="Times New Roman" w:cs="Times New Roman"/>
                <w:color w:val="000000"/>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0873A9"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0873A9">
              <w:rPr>
                <w:rFonts w:ascii="Times New Roman" w:hAnsi="Times New Roman" w:cs="Times New Roman"/>
                <w:color w:val="000000"/>
                <w:sz w:val="24"/>
                <w:szCs w:val="24"/>
              </w:rPr>
              <w:t>;</w:t>
            </w:r>
          </w:p>
          <w:p w:rsidR="00DC7DD6" w:rsidRPr="00DC7DD6" w:rsidRDefault="000873A9" w:rsidP="00DC7DD6">
            <w:pPr>
              <w:spacing w:before="120" w:after="60"/>
              <w:ind w:firstLine="284"/>
              <w:jc w:val="both"/>
              <w:rPr>
                <w:rFonts w:ascii="Times New Roman" w:hAnsi="Times New Roman" w:cs="Times New Roman"/>
                <w:color w:val="000000"/>
                <w:sz w:val="24"/>
                <w:szCs w:val="24"/>
              </w:rPr>
            </w:pPr>
            <w:r w:rsidRPr="00534A35">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 xml:space="preserve">квітня 2023 р. № 382 </w:t>
            </w:r>
            <w:proofErr w:type="spellStart"/>
            <w:r w:rsidRPr="00534A35">
              <w:rPr>
                <w:rFonts w:ascii="Times New Roman" w:hAnsi="Times New Roman" w:cs="Times New Roman"/>
                <w:color w:val="000000"/>
                <w:sz w:val="24"/>
                <w:szCs w:val="24"/>
              </w:rPr>
              <w:t>“Про</w:t>
            </w:r>
            <w:proofErr w:type="spellEnd"/>
            <w:r w:rsidRPr="00534A35">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34A35">
              <w:rPr>
                <w:rFonts w:ascii="Times New Roman" w:hAnsi="Times New Roman" w:cs="Times New Roman"/>
                <w:color w:val="000000"/>
                <w:sz w:val="24"/>
                <w:szCs w:val="24"/>
              </w:rPr>
              <w:t>Федерації”</w:t>
            </w:r>
            <w:proofErr w:type="spellEnd"/>
            <w:r w:rsidRPr="00534A35">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DC7DD6" w:rsidRPr="00DC7DD6">
              <w:rPr>
                <w:rFonts w:ascii="Times New Roman" w:hAnsi="Times New Roman" w:cs="Times New Roman"/>
                <w:color w:val="000000"/>
                <w:sz w:val="24"/>
                <w:szCs w:val="24"/>
              </w:rPr>
              <w:t>.</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5B" w:rsidRDefault="004D295B">
      <w:pPr>
        <w:spacing w:after="0" w:line="240" w:lineRule="auto"/>
      </w:pPr>
      <w:r>
        <w:separator/>
      </w:r>
    </w:p>
  </w:endnote>
  <w:endnote w:type="continuationSeparator" w:id="0">
    <w:p w:rsidR="004D295B" w:rsidRDefault="004D2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E2350D">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40C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5B" w:rsidRDefault="004D295B">
      <w:pPr>
        <w:spacing w:after="0" w:line="240" w:lineRule="auto"/>
      </w:pPr>
      <w:r>
        <w:separator/>
      </w:r>
    </w:p>
  </w:footnote>
  <w:footnote w:type="continuationSeparator" w:id="0">
    <w:p w:rsidR="004D295B" w:rsidRDefault="004D2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43C2B"/>
    <w:rsid w:val="000810C3"/>
    <w:rsid w:val="000873A9"/>
    <w:rsid w:val="000B263A"/>
    <w:rsid w:val="000C285C"/>
    <w:rsid w:val="000D4FBE"/>
    <w:rsid w:val="000E3F95"/>
    <w:rsid w:val="000E4E87"/>
    <w:rsid w:val="000F21E7"/>
    <w:rsid w:val="000F65EF"/>
    <w:rsid w:val="00105D47"/>
    <w:rsid w:val="0011142A"/>
    <w:rsid w:val="00113855"/>
    <w:rsid w:val="00115182"/>
    <w:rsid w:val="001201BC"/>
    <w:rsid w:val="001324CD"/>
    <w:rsid w:val="00146472"/>
    <w:rsid w:val="0016779D"/>
    <w:rsid w:val="001B4072"/>
    <w:rsid w:val="001C285A"/>
    <w:rsid w:val="001E396B"/>
    <w:rsid w:val="001F0621"/>
    <w:rsid w:val="001F3D5C"/>
    <w:rsid w:val="00204350"/>
    <w:rsid w:val="00213393"/>
    <w:rsid w:val="002228CA"/>
    <w:rsid w:val="002345DB"/>
    <w:rsid w:val="002367AC"/>
    <w:rsid w:val="002400E3"/>
    <w:rsid w:val="00266110"/>
    <w:rsid w:val="002722F2"/>
    <w:rsid w:val="00287109"/>
    <w:rsid w:val="002A3680"/>
    <w:rsid w:val="002A5B08"/>
    <w:rsid w:val="002B7578"/>
    <w:rsid w:val="002C3333"/>
    <w:rsid w:val="002E567F"/>
    <w:rsid w:val="002F60CD"/>
    <w:rsid w:val="00304D90"/>
    <w:rsid w:val="00322607"/>
    <w:rsid w:val="00325AC7"/>
    <w:rsid w:val="003343DF"/>
    <w:rsid w:val="003459AE"/>
    <w:rsid w:val="00350E27"/>
    <w:rsid w:val="00365854"/>
    <w:rsid w:val="003660C2"/>
    <w:rsid w:val="003A0936"/>
    <w:rsid w:val="003B22A7"/>
    <w:rsid w:val="003B3623"/>
    <w:rsid w:val="003C162F"/>
    <w:rsid w:val="003C7EDC"/>
    <w:rsid w:val="00407C30"/>
    <w:rsid w:val="0041244E"/>
    <w:rsid w:val="004233AB"/>
    <w:rsid w:val="00424AC6"/>
    <w:rsid w:val="004338EF"/>
    <w:rsid w:val="004375EA"/>
    <w:rsid w:val="00443F7B"/>
    <w:rsid w:val="00444AEE"/>
    <w:rsid w:val="004460CE"/>
    <w:rsid w:val="00454B86"/>
    <w:rsid w:val="004A3DDF"/>
    <w:rsid w:val="004C014B"/>
    <w:rsid w:val="004D295B"/>
    <w:rsid w:val="00505E84"/>
    <w:rsid w:val="005170B2"/>
    <w:rsid w:val="00542715"/>
    <w:rsid w:val="0056136A"/>
    <w:rsid w:val="0057432C"/>
    <w:rsid w:val="0059161C"/>
    <w:rsid w:val="005A605F"/>
    <w:rsid w:val="005E7F7F"/>
    <w:rsid w:val="006111F1"/>
    <w:rsid w:val="006113C1"/>
    <w:rsid w:val="00614E0A"/>
    <w:rsid w:val="00672EBC"/>
    <w:rsid w:val="00682CD9"/>
    <w:rsid w:val="006941A3"/>
    <w:rsid w:val="006A1C08"/>
    <w:rsid w:val="00716D5A"/>
    <w:rsid w:val="0072181B"/>
    <w:rsid w:val="00741247"/>
    <w:rsid w:val="007415F4"/>
    <w:rsid w:val="00773967"/>
    <w:rsid w:val="00773A41"/>
    <w:rsid w:val="0077441F"/>
    <w:rsid w:val="007744A8"/>
    <w:rsid w:val="00785626"/>
    <w:rsid w:val="007931EE"/>
    <w:rsid w:val="007B4697"/>
    <w:rsid w:val="007E4EA9"/>
    <w:rsid w:val="008216D2"/>
    <w:rsid w:val="00856CBF"/>
    <w:rsid w:val="00865001"/>
    <w:rsid w:val="00876EB1"/>
    <w:rsid w:val="008B0626"/>
    <w:rsid w:val="008C4F50"/>
    <w:rsid w:val="008C7F2E"/>
    <w:rsid w:val="008D46B0"/>
    <w:rsid w:val="008E3305"/>
    <w:rsid w:val="008E42DE"/>
    <w:rsid w:val="008F4834"/>
    <w:rsid w:val="009260C4"/>
    <w:rsid w:val="00955CA7"/>
    <w:rsid w:val="009624BD"/>
    <w:rsid w:val="00966040"/>
    <w:rsid w:val="00986F22"/>
    <w:rsid w:val="009A0F3E"/>
    <w:rsid w:val="00A02234"/>
    <w:rsid w:val="00A24684"/>
    <w:rsid w:val="00A31915"/>
    <w:rsid w:val="00A349AA"/>
    <w:rsid w:val="00AB4B61"/>
    <w:rsid w:val="00AB7431"/>
    <w:rsid w:val="00AB7C81"/>
    <w:rsid w:val="00AC2C07"/>
    <w:rsid w:val="00AC40C9"/>
    <w:rsid w:val="00AE1057"/>
    <w:rsid w:val="00B10844"/>
    <w:rsid w:val="00B37522"/>
    <w:rsid w:val="00BD4C82"/>
    <w:rsid w:val="00C01038"/>
    <w:rsid w:val="00C06422"/>
    <w:rsid w:val="00C149BB"/>
    <w:rsid w:val="00C14ADE"/>
    <w:rsid w:val="00C40E71"/>
    <w:rsid w:val="00C45BD5"/>
    <w:rsid w:val="00C650D2"/>
    <w:rsid w:val="00C72B5A"/>
    <w:rsid w:val="00C763B1"/>
    <w:rsid w:val="00C94D43"/>
    <w:rsid w:val="00CD2EC4"/>
    <w:rsid w:val="00CD4FB0"/>
    <w:rsid w:val="00CF1201"/>
    <w:rsid w:val="00D17800"/>
    <w:rsid w:val="00D33E65"/>
    <w:rsid w:val="00D50278"/>
    <w:rsid w:val="00D62A9D"/>
    <w:rsid w:val="00D70D45"/>
    <w:rsid w:val="00D9523B"/>
    <w:rsid w:val="00DA5E30"/>
    <w:rsid w:val="00DC7DD6"/>
    <w:rsid w:val="00DD08A0"/>
    <w:rsid w:val="00DF398D"/>
    <w:rsid w:val="00DF430F"/>
    <w:rsid w:val="00E127C9"/>
    <w:rsid w:val="00E15CC3"/>
    <w:rsid w:val="00E2350D"/>
    <w:rsid w:val="00E47A4D"/>
    <w:rsid w:val="00E511A4"/>
    <w:rsid w:val="00E84C2D"/>
    <w:rsid w:val="00E93644"/>
    <w:rsid w:val="00ED4500"/>
    <w:rsid w:val="00F07984"/>
    <w:rsid w:val="00F07CDE"/>
    <w:rsid w:val="00F24A2B"/>
    <w:rsid w:val="00F3321B"/>
    <w:rsid w:val="00F34560"/>
    <w:rsid w:val="00F45483"/>
    <w:rsid w:val="00F45721"/>
    <w:rsid w:val="00F46672"/>
    <w:rsid w:val="00F52CA1"/>
    <w:rsid w:val="00F55539"/>
    <w:rsid w:val="00F861C4"/>
    <w:rsid w:val="00F9059F"/>
    <w:rsid w:val="00F95B59"/>
    <w:rsid w:val="00FA0A1F"/>
    <w:rsid w:val="00FD1ECF"/>
    <w:rsid w:val="00FE7ABD"/>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85163131">
      <w:bodyDiv w:val="1"/>
      <w:marLeft w:val="0"/>
      <w:marRight w:val="0"/>
      <w:marTop w:val="0"/>
      <w:marBottom w:val="0"/>
      <w:divBdr>
        <w:top w:val="none" w:sz="0" w:space="0" w:color="auto"/>
        <w:left w:val="none" w:sz="0" w:space="0" w:color="auto"/>
        <w:bottom w:val="none" w:sz="0" w:space="0" w:color="auto"/>
        <w:right w:val="none" w:sz="0" w:space="0" w:color="auto"/>
      </w:divBdr>
    </w:div>
    <w:div w:id="202532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21</Pages>
  <Words>7359</Words>
  <Characters>41949</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44</cp:revision>
  <cp:lastPrinted>2024-02-08T15:28:00Z</cp:lastPrinted>
  <dcterms:created xsi:type="dcterms:W3CDTF">2022-11-11T12:51:00Z</dcterms:created>
  <dcterms:modified xsi:type="dcterms:W3CDTF">2024-02-08T15:29:00Z</dcterms:modified>
</cp:coreProperties>
</file>