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9" w:rsidRDefault="00B254E9" w:rsidP="00B254E9">
      <w:pPr>
        <w:pStyle w:val="Standard"/>
        <w:jc w:val="right"/>
        <w:rPr>
          <w:b/>
          <w:color w:val="auto"/>
          <w:sz w:val="28"/>
          <w:szCs w:val="28"/>
          <w:lang w:val="uk-UA"/>
        </w:rPr>
      </w:pPr>
      <w:r w:rsidRPr="00EA29CC">
        <w:rPr>
          <w:b/>
          <w:color w:val="auto"/>
          <w:sz w:val="28"/>
          <w:szCs w:val="28"/>
          <w:lang w:val="uk-UA"/>
        </w:rPr>
        <w:t>ХМЕЛЬНИЦЬКИЙ ЗАКЛАД  ДОШКІЛЬНОЇ ОСВІТИ № 34 "ТОПОЛЬКА" ХМЕЛЬНИЦЬКОЇ МІСЬКОЇ РАДИ ХМЕЛЬНИЦЬКОЇ ОБЛАСТІ</w:t>
      </w:r>
    </w:p>
    <w:p w:rsidR="00B254E9" w:rsidRDefault="00B254E9" w:rsidP="00B254E9">
      <w:pPr>
        <w:pStyle w:val="Standard"/>
        <w:jc w:val="right"/>
        <w:rPr>
          <w:b/>
          <w:color w:val="auto"/>
          <w:sz w:val="28"/>
          <w:szCs w:val="28"/>
          <w:lang w:val="uk-UA"/>
        </w:rPr>
      </w:pPr>
    </w:p>
    <w:p w:rsidR="00B254E9" w:rsidRPr="00830F95" w:rsidRDefault="00B254E9" w:rsidP="00B254E9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 xml:space="preserve"> «Затверджено» </w:t>
      </w:r>
    </w:p>
    <w:p w:rsidR="00B254E9" w:rsidRPr="004358B8" w:rsidRDefault="00B254E9" w:rsidP="00B254E9">
      <w:pPr>
        <w:pStyle w:val="Standard"/>
        <w:jc w:val="right"/>
        <w:rPr>
          <w:color w:val="auto"/>
          <w:lang w:val="uk-UA"/>
        </w:rPr>
      </w:pPr>
      <w:r w:rsidRPr="004358B8">
        <w:rPr>
          <w:color w:val="auto"/>
          <w:lang w:val="uk-UA"/>
        </w:rPr>
        <w:t>Уповноважена особа:</w:t>
      </w:r>
    </w:p>
    <w:p w:rsidR="00B254E9" w:rsidRPr="0018339D" w:rsidRDefault="00B254E9" w:rsidP="00B254E9">
      <w:pPr>
        <w:pStyle w:val="Standard"/>
        <w:jc w:val="right"/>
        <w:rPr>
          <w:color w:val="auto"/>
          <w:lang w:val="uk-UA"/>
        </w:rPr>
      </w:pPr>
      <w:r>
        <w:rPr>
          <w:lang w:val="uk-UA"/>
        </w:rPr>
        <w:t>Анна КОСТЮК</w:t>
      </w:r>
    </w:p>
    <w:p w:rsidR="00B254E9" w:rsidRPr="00830F95" w:rsidRDefault="00573A25" w:rsidP="00B254E9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 «06</w:t>
      </w:r>
      <w:r w:rsidR="00B254E9" w:rsidRPr="00FE4A33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>серпня</w:t>
      </w:r>
      <w:r w:rsidR="00B254E9" w:rsidRPr="00FE4A33">
        <w:rPr>
          <w:color w:val="auto"/>
          <w:lang w:val="uk-UA"/>
        </w:rPr>
        <w:t xml:space="preserve"> 202</w:t>
      </w:r>
      <w:r w:rsidR="00B254E9">
        <w:rPr>
          <w:color w:val="auto"/>
          <w:lang w:val="uk-UA"/>
        </w:rPr>
        <w:t>2</w:t>
      </w:r>
      <w:r w:rsidR="00B254E9" w:rsidRPr="00FE4A33">
        <w:rPr>
          <w:color w:val="auto"/>
          <w:lang w:val="uk-UA"/>
        </w:rPr>
        <w:t xml:space="preserve"> року</w:t>
      </w:r>
    </w:p>
    <w:p w:rsidR="00C068FE" w:rsidRPr="00830F95" w:rsidRDefault="00C068FE" w:rsidP="00C068FE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C068FE" w:rsidRPr="00830F95" w:rsidRDefault="00C068FE" w:rsidP="00C068FE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B254E9" w:rsidRDefault="00B254E9" w:rsidP="00B254E9">
            <w:pPr>
              <w:pStyle w:val="Standard"/>
              <w:rPr>
                <w:b/>
                <w:color w:val="auto"/>
                <w:lang w:val="uk-UA"/>
              </w:rPr>
            </w:pPr>
            <w:r w:rsidRPr="00EA29CC">
              <w:rPr>
                <w:b/>
                <w:color w:val="auto"/>
                <w:lang w:val="uk-UA"/>
              </w:rPr>
              <w:t xml:space="preserve">ХМЕЛЬНИЦЬКИЙ ЗАКЛАД  ДОШКІЛЬНОЇ ОСВІТИ № 34 "ТОПОЛЬКА" ХМЕЛЬНИЦЬКОЇ МІСЬКОЇ РАДИ ХМЕЛЬНИЦЬКОЇ ОБЛАСТІ </w:t>
            </w:r>
          </w:p>
          <w:p w:rsidR="00B254E9" w:rsidRDefault="00B254E9" w:rsidP="00B254E9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29009</w:t>
            </w:r>
            <w:r w:rsidRPr="00F206F7">
              <w:rPr>
                <w:bCs/>
                <w:lang w:val="uk-UA"/>
              </w:rPr>
              <w:t>, Хмельниць</w:t>
            </w:r>
            <w:r>
              <w:rPr>
                <w:bCs/>
                <w:lang w:val="uk-UA"/>
              </w:rPr>
              <w:t>ка область, місто Хмельницький,</w:t>
            </w:r>
            <w:r w:rsidRPr="00792A29">
              <w:rPr>
                <w:bCs/>
                <w:lang w:val="uk-UA"/>
              </w:rPr>
              <w:t xml:space="preserve"> вул</w:t>
            </w:r>
            <w:r>
              <w:rPr>
                <w:bCs/>
                <w:lang w:val="uk-UA"/>
              </w:rPr>
              <w:t xml:space="preserve">иця </w:t>
            </w:r>
            <w:r w:rsidRPr="00792A29">
              <w:rPr>
                <w:bCs/>
                <w:lang w:val="uk-UA"/>
              </w:rPr>
              <w:t>Героїв АТО, будинок 15/1</w:t>
            </w:r>
          </w:p>
          <w:p w:rsidR="00B254E9" w:rsidRPr="00830F95" w:rsidRDefault="00B254E9" w:rsidP="00B254E9">
            <w:pPr>
              <w:pStyle w:val="Standard"/>
              <w:rPr>
                <w:b/>
                <w:color w:val="auto"/>
                <w:lang w:val="uk-UA"/>
              </w:rPr>
            </w:pPr>
            <w:r w:rsidRPr="00830F95">
              <w:rPr>
                <w:b/>
                <w:lang w:val="uk-UA"/>
              </w:rPr>
              <w:t xml:space="preserve">ЄДРПОУ: </w:t>
            </w:r>
            <w:r w:rsidRPr="00EA29CC">
              <w:rPr>
                <w:b/>
                <w:lang w:val="uk-UA"/>
              </w:rPr>
              <w:t>33332244</w:t>
            </w:r>
          </w:p>
          <w:p w:rsidR="00C068FE" w:rsidRPr="00CB3D25" w:rsidRDefault="00B254E9" w:rsidP="00B254E9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C068FE" w:rsidRPr="0009432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C068FE" w:rsidRDefault="00C068FE" w:rsidP="00C068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671F">
              <w:rPr>
                <w:b/>
                <w:sz w:val="24"/>
                <w:szCs w:val="24"/>
                <w:lang w:val="uk-UA"/>
              </w:rPr>
              <w:t>код ДК 021:</w:t>
            </w:r>
            <w:r w:rsidRPr="00C068FE">
              <w:rPr>
                <w:b/>
                <w:sz w:val="24"/>
                <w:szCs w:val="24"/>
                <w:lang w:val="uk-UA"/>
              </w:rPr>
              <w:t xml:space="preserve"> </w:t>
            </w:r>
            <w:r w:rsidR="00573A25" w:rsidRPr="00573A25">
              <w:rPr>
                <w:b/>
                <w:sz w:val="24"/>
                <w:szCs w:val="24"/>
                <w:lang w:val="uk-UA"/>
              </w:rPr>
              <w:t>15610000-7 "Продукція борошномельно-круп'яної промисловості"</w:t>
            </w:r>
          </w:p>
          <w:p w:rsidR="00573A25" w:rsidRPr="00C068FE" w:rsidRDefault="00573A25" w:rsidP="00C068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068FE" w:rsidRDefault="00C068FE" w:rsidP="00C068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068FE">
              <w:rPr>
                <w:b/>
                <w:sz w:val="24"/>
                <w:szCs w:val="24"/>
                <w:lang w:val="uk-UA"/>
              </w:rPr>
              <w:t>(</w:t>
            </w:r>
            <w:r w:rsidR="00573A25" w:rsidRPr="00573A25">
              <w:rPr>
                <w:b/>
                <w:sz w:val="24"/>
                <w:szCs w:val="24"/>
                <w:lang w:val="uk-UA"/>
              </w:rPr>
              <w:t xml:space="preserve">Крупа манна, крупа пшенична «Артек», крупа </w:t>
            </w:r>
            <w:proofErr w:type="spellStart"/>
            <w:r w:rsidR="00573A25" w:rsidRPr="00573A25">
              <w:rPr>
                <w:b/>
                <w:sz w:val="24"/>
                <w:szCs w:val="24"/>
                <w:lang w:val="uk-UA"/>
              </w:rPr>
              <w:t>булгур</w:t>
            </w:r>
            <w:proofErr w:type="spellEnd"/>
            <w:r w:rsidR="00573A25" w:rsidRPr="00573A25">
              <w:rPr>
                <w:b/>
                <w:sz w:val="24"/>
                <w:szCs w:val="24"/>
                <w:lang w:val="uk-UA"/>
              </w:rPr>
              <w:t>, крупа кукурудзяна, крупа рисова, крупа ячмінна, крупа вівсяна, сочевиця, крупа гречана, крупа пшоняна, борошно пшеничне</w:t>
            </w:r>
            <w:r w:rsidRPr="00D1516B">
              <w:rPr>
                <w:b/>
                <w:sz w:val="24"/>
                <w:szCs w:val="24"/>
                <w:lang w:val="uk-UA"/>
              </w:rPr>
              <w:t>)</w:t>
            </w:r>
          </w:p>
          <w:p w:rsidR="00C068FE" w:rsidRPr="00CB3D25" w:rsidRDefault="00C068FE" w:rsidP="00462A01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068FE" w:rsidRPr="00CB3D25" w:rsidRDefault="00C068FE" w:rsidP="00462A01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068FE" w:rsidRPr="00CB3D25" w:rsidRDefault="00C068FE" w:rsidP="00462A01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C068FE" w:rsidRDefault="00C068FE" w:rsidP="00462A01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C068FE" w:rsidRPr="00830F95" w:rsidRDefault="00C068FE" w:rsidP="00462A01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C068FE" w:rsidRPr="00916FD9" w:rsidRDefault="00C068FE" w:rsidP="00462A01">
            <w:pPr>
              <w:pStyle w:val="Standard"/>
              <w:jc w:val="both"/>
              <w:rPr>
                <w:color w:val="auto"/>
                <w:lang w:val="uk-UA"/>
              </w:rPr>
            </w:pPr>
            <w:r w:rsidRPr="00916FD9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B254E9" w:rsidRDefault="00B254E9" w:rsidP="00B254E9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29009</w:t>
            </w:r>
            <w:r w:rsidRPr="00F206F7">
              <w:rPr>
                <w:bCs/>
                <w:lang w:val="uk-UA"/>
              </w:rPr>
              <w:t>, Хмельниць</w:t>
            </w:r>
            <w:r>
              <w:rPr>
                <w:bCs/>
                <w:lang w:val="uk-UA"/>
              </w:rPr>
              <w:t>ка область, місто Хмельницький,</w:t>
            </w:r>
            <w:r w:rsidRPr="00792A29">
              <w:rPr>
                <w:bCs/>
                <w:lang w:val="uk-UA"/>
              </w:rPr>
              <w:t xml:space="preserve"> вул</w:t>
            </w:r>
            <w:r>
              <w:rPr>
                <w:bCs/>
                <w:lang w:val="uk-UA"/>
              </w:rPr>
              <w:t xml:space="preserve">иця </w:t>
            </w:r>
            <w:r w:rsidRPr="00792A29">
              <w:rPr>
                <w:bCs/>
                <w:lang w:val="uk-UA"/>
              </w:rPr>
              <w:t>Героїв АТО, будинок 15/1</w:t>
            </w:r>
          </w:p>
          <w:p w:rsidR="00C068FE" w:rsidRPr="00830F95" w:rsidRDefault="00C068FE" w:rsidP="00462A0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C068FE" w:rsidRPr="006F04EC" w:rsidRDefault="00C068FE" w:rsidP="00462A01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C068FE" w:rsidRPr="00E300A7" w:rsidRDefault="00C068FE" w:rsidP="00462A01">
            <w:pPr>
              <w:pStyle w:val="Standard"/>
              <w:jc w:val="both"/>
              <w:rPr>
                <w:color w:val="auto"/>
                <w:lang w:val="uk-UA"/>
              </w:rPr>
            </w:pPr>
            <w:r w:rsidRPr="00E300A7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E300A7">
              <w:t>перерахування</w:t>
            </w:r>
            <w:proofErr w:type="spellEnd"/>
            <w:r w:rsidRPr="00E300A7">
              <w:t xml:space="preserve"> </w:t>
            </w:r>
            <w:proofErr w:type="spellStart"/>
            <w:r w:rsidRPr="00E300A7">
              <w:t>коштів</w:t>
            </w:r>
            <w:proofErr w:type="spellEnd"/>
            <w:r w:rsidRPr="00E300A7">
              <w:t xml:space="preserve"> на </w:t>
            </w:r>
            <w:proofErr w:type="spellStart"/>
            <w:r w:rsidRPr="00E300A7">
              <w:t>розрахунковий</w:t>
            </w:r>
            <w:proofErr w:type="spellEnd"/>
            <w:r w:rsidRPr="00E300A7">
              <w:t xml:space="preserve"> </w:t>
            </w:r>
            <w:proofErr w:type="spellStart"/>
            <w:r w:rsidRPr="00E300A7">
              <w:t>рахунок</w:t>
            </w:r>
            <w:proofErr w:type="spellEnd"/>
            <w:r w:rsidRPr="00E300A7">
              <w:t xml:space="preserve"> </w:t>
            </w:r>
            <w:proofErr w:type="spellStart"/>
            <w:r w:rsidRPr="00274467">
              <w:t>Постачальника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після</w:t>
            </w:r>
            <w:proofErr w:type="spellEnd"/>
            <w:r w:rsidRPr="00274467">
              <w:t xml:space="preserve"> поставки товару </w:t>
            </w:r>
            <w:proofErr w:type="spellStart"/>
            <w:r w:rsidRPr="00274467">
              <w:t>Замовнику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протягом</w:t>
            </w:r>
            <w:proofErr w:type="spellEnd"/>
            <w:r w:rsidRPr="00274467">
              <w:t xml:space="preserve"> 30 </w:t>
            </w:r>
            <w:proofErr w:type="spellStart"/>
            <w:r w:rsidRPr="00274467">
              <w:t>календарних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днів</w:t>
            </w:r>
            <w:proofErr w:type="spellEnd"/>
            <w:r w:rsidRPr="00274467">
              <w:t xml:space="preserve">, </w:t>
            </w:r>
            <w:proofErr w:type="spellStart"/>
            <w:r w:rsidRPr="00274467">
              <w:t>згідно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наданих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Постачальником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накладних</w:t>
            </w:r>
            <w:proofErr w:type="spellEnd"/>
            <w:r w:rsidRPr="00274467">
              <w:t xml:space="preserve"> за </w:t>
            </w:r>
            <w:proofErr w:type="spellStart"/>
            <w:r w:rsidRPr="00274467">
              <w:t>наявності</w:t>
            </w:r>
            <w:proofErr w:type="spellEnd"/>
            <w:r w:rsidRPr="00274467">
              <w:t xml:space="preserve"> </w:t>
            </w:r>
            <w:proofErr w:type="spellStart"/>
            <w:r w:rsidRPr="00274467">
              <w:t>фінансування</w:t>
            </w:r>
            <w:proofErr w:type="spellEnd"/>
            <w:r w:rsidRPr="00274467">
              <w:t xml:space="preserve">, але не </w:t>
            </w:r>
            <w:proofErr w:type="spellStart"/>
            <w:r w:rsidRPr="00274467">
              <w:t>пізніше</w:t>
            </w:r>
            <w:proofErr w:type="spellEnd"/>
            <w:r w:rsidRPr="00274467">
              <w:t xml:space="preserve"> 31 </w:t>
            </w:r>
            <w:proofErr w:type="spellStart"/>
            <w:r w:rsidRPr="00274467">
              <w:t>грудня</w:t>
            </w:r>
            <w:proofErr w:type="spellEnd"/>
            <w:r w:rsidRPr="00274467">
              <w:t xml:space="preserve"> 202</w:t>
            </w:r>
            <w:r>
              <w:t>2</w:t>
            </w:r>
            <w:r w:rsidRPr="00274467">
              <w:t xml:space="preserve"> року</w:t>
            </w:r>
            <w:r w:rsidRPr="00E300A7">
              <w:rPr>
                <w:color w:val="auto"/>
                <w:lang w:val="uk-UA"/>
              </w:rPr>
              <w:t>.</w:t>
            </w:r>
          </w:p>
          <w:p w:rsidR="00C068FE" w:rsidRPr="00E300A7" w:rsidRDefault="00C068FE" w:rsidP="00462A0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E300A7">
              <w:rPr>
                <w:color w:val="auto"/>
                <w:lang w:val="uk-UA"/>
              </w:rPr>
              <w:t>Післяоплата</w:t>
            </w:r>
            <w:proofErr w:type="spellEnd"/>
            <w:r w:rsidRPr="00E300A7">
              <w:rPr>
                <w:color w:val="auto"/>
                <w:lang w:val="uk-UA"/>
              </w:rPr>
              <w:t xml:space="preserve"> – 100%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C068FE" w:rsidRPr="00E300A7" w:rsidRDefault="00C068FE" w:rsidP="00573A25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E300A7">
              <w:rPr>
                <w:b/>
                <w:lang w:val="uk-UA"/>
              </w:rPr>
              <w:t xml:space="preserve"> </w:t>
            </w:r>
            <w:r w:rsidR="00573A25">
              <w:rPr>
                <w:b/>
                <w:lang w:val="uk-UA"/>
              </w:rPr>
              <w:t>62800</w:t>
            </w:r>
            <w:r>
              <w:rPr>
                <w:b/>
                <w:lang w:val="uk-UA"/>
              </w:rPr>
              <w:t xml:space="preserve">,00 </w:t>
            </w:r>
            <w:r w:rsidRPr="00E300A7">
              <w:rPr>
                <w:b/>
                <w:lang w:val="uk-UA"/>
              </w:rPr>
              <w:t>грн.</w:t>
            </w:r>
          </w:p>
        </w:tc>
      </w:tr>
      <w:tr w:rsidR="00B254E9" w:rsidRPr="00830F95" w:rsidTr="00462A01">
        <w:tc>
          <w:tcPr>
            <w:tcW w:w="4644" w:type="dxa"/>
          </w:tcPr>
          <w:p w:rsidR="00B254E9" w:rsidRPr="00830F95" w:rsidRDefault="00B254E9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B254E9" w:rsidRPr="00E300A7" w:rsidRDefault="0038528E" w:rsidP="00573A25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«12</w:t>
            </w:r>
            <w:r w:rsidR="00B254E9" w:rsidRPr="00E300A7">
              <w:rPr>
                <w:b/>
                <w:color w:val="auto"/>
                <w:lang w:val="uk-UA" w:eastAsia="uk-UA"/>
              </w:rPr>
              <w:t xml:space="preserve">» </w:t>
            </w:r>
            <w:r w:rsidR="00573A25">
              <w:rPr>
                <w:b/>
                <w:color w:val="auto"/>
                <w:lang w:val="uk-UA" w:eastAsia="uk-UA"/>
              </w:rPr>
              <w:t>серпня</w:t>
            </w:r>
            <w:r w:rsidR="00B254E9" w:rsidRPr="00E300A7">
              <w:rPr>
                <w:b/>
                <w:color w:val="auto"/>
                <w:lang w:val="uk-UA" w:eastAsia="uk-UA"/>
              </w:rPr>
              <w:t xml:space="preserve"> 202</w:t>
            </w:r>
            <w:r w:rsidR="00B254E9">
              <w:rPr>
                <w:b/>
                <w:color w:val="auto"/>
                <w:lang w:val="uk-UA" w:eastAsia="uk-UA"/>
              </w:rPr>
              <w:t>2</w:t>
            </w:r>
            <w:r w:rsidR="00B254E9" w:rsidRPr="00E300A7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B254E9" w:rsidRPr="00830F95" w:rsidTr="00462A01">
        <w:tc>
          <w:tcPr>
            <w:tcW w:w="4644" w:type="dxa"/>
          </w:tcPr>
          <w:p w:rsidR="00B254E9" w:rsidRPr="00830F95" w:rsidRDefault="00B254E9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</w:t>
            </w:r>
            <w:r w:rsidRPr="00830F95">
              <w:rPr>
                <w:lang w:val="uk-UA"/>
              </w:rPr>
              <w:lastRenderedPageBreak/>
              <w:t>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B254E9" w:rsidRPr="00E300A7" w:rsidRDefault="00B254E9" w:rsidP="00573A25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E300A7">
              <w:rPr>
                <w:b/>
                <w:color w:val="auto"/>
                <w:lang w:val="uk-UA" w:eastAsia="uk-UA"/>
              </w:rPr>
              <w:lastRenderedPageBreak/>
              <w:t>до «</w:t>
            </w:r>
            <w:r w:rsidR="0038528E">
              <w:rPr>
                <w:b/>
                <w:color w:val="auto"/>
                <w:lang w:val="uk-UA" w:eastAsia="uk-UA"/>
              </w:rPr>
              <w:t>18</w:t>
            </w:r>
            <w:r w:rsidRPr="00E300A7">
              <w:rPr>
                <w:b/>
                <w:color w:val="auto"/>
                <w:lang w:val="uk-UA" w:eastAsia="uk-UA"/>
              </w:rPr>
              <w:t xml:space="preserve">» </w:t>
            </w:r>
            <w:r w:rsidR="00573A25">
              <w:rPr>
                <w:b/>
                <w:color w:val="auto"/>
                <w:lang w:val="uk-UA" w:eastAsia="uk-UA"/>
              </w:rPr>
              <w:t>серпня</w:t>
            </w:r>
            <w:r w:rsidRPr="00E300A7">
              <w:rPr>
                <w:b/>
                <w:color w:val="auto"/>
                <w:lang w:val="uk-UA" w:eastAsia="uk-UA"/>
              </w:rPr>
              <w:t xml:space="preserve"> 202</w:t>
            </w:r>
            <w:r>
              <w:rPr>
                <w:b/>
                <w:color w:val="auto"/>
                <w:lang w:val="uk-UA" w:eastAsia="uk-UA"/>
              </w:rPr>
              <w:t>2</w:t>
            </w:r>
            <w:r w:rsidRPr="00E300A7">
              <w:rPr>
                <w:b/>
                <w:color w:val="auto"/>
                <w:lang w:val="uk-UA" w:eastAsia="uk-UA"/>
              </w:rPr>
              <w:t xml:space="preserve"> </w:t>
            </w:r>
            <w:bookmarkStart w:id="12" w:name="_GoBack"/>
            <w:bookmarkEnd w:id="12"/>
            <w:r w:rsidRPr="00E300A7">
              <w:rPr>
                <w:b/>
                <w:color w:val="auto"/>
                <w:lang w:val="uk-UA" w:eastAsia="uk-UA"/>
              </w:rPr>
              <w:t>року 15:00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C068FE" w:rsidRPr="00830F95" w:rsidRDefault="00C068FE" w:rsidP="00462A0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C068FE" w:rsidRPr="00830F95" w:rsidRDefault="00C068FE" w:rsidP="00462A0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C068FE" w:rsidRPr="00830F95" w:rsidRDefault="00C068FE" w:rsidP="00462A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C068FE" w:rsidRPr="00830F95" w:rsidTr="00462A01">
        <w:tc>
          <w:tcPr>
            <w:tcW w:w="10372" w:type="dxa"/>
            <w:gridSpan w:val="2"/>
          </w:tcPr>
          <w:p w:rsidR="00C068FE" w:rsidRPr="00830F95" w:rsidRDefault="00C068FE" w:rsidP="00462A01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C068FE" w:rsidRPr="00830F95" w:rsidTr="00462A01">
        <w:tc>
          <w:tcPr>
            <w:tcW w:w="4644" w:type="dxa"/>
          </w:tcPr>
          <w:p w:rsidR="00C068FE" w:rsidRPr="00830F95" w:rsidRDefault="00C068FE" w:rsidP="00462A01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C068FE" w:rsidRPr="00830F95" w:rsidRDefault="00C068FE" w:rsidP="00462A01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C068FE" w:rsidRPr="00830F95" w:rsidRDefault="00C068FE" w:rsidP="00462A01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C068FE" w:rsidRPr="00830F95" w:rsidRDefault="00C068FE" w:rsidP="00462A01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C068FE" w:rsidRPr="00830F95" w:rsidRDefault="00C068FE" w:rsidP="00462A01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C068FE" w:rsidRPr="00830F95" w:rsidTr="00462A01">
        <w:tc>
          <w:tcPr>
            <w:tcW w:w="10372" w:type="dxa"/>
            <w:gridSpan w:val="2"/>
          </w:tcPr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б) </w:t>
            </w:r>
            <w:r w:rsidRPr="004C671F">
              <w:rPr>
                <w:b/>
                <w:color w:val="auto"/>
                <w:lang w:val="uk-UA"/>
              </w:rPr>
              <w:t xml:space="preserve">Перелік документів, які має надати учасник закупівлі в електронному (сканованому у форматі </w:t>
            </w:r>
            <w:proofErr w:type="spellStart"/>
            <w:r w:rsidRPr="004C671F">
              <w:rPr>
                <w:b/>
                <w:color w:val="auto"/>
                <w:lang w:val="uk-UA"/>
              </w:rPr>
              <w:t>pdf</w:t>
            </w:r>
            <w:proofErr w:type="spellEnd"/>
            <w:r w:rsidRPr="004C671F">
              <w:rPr>
                <w:b/>
                <w:color w:val="auto"/>
                <w:lang w:val="uk-UA"/>
              </w:rPr>
              <w:t xml:space="preserve"> та/або </w:t>
            </w:r>
            <w:proofErr w:type="spellStart"/>
            <w:r w:rsidRPr="004C671F">
              <w:rPr>
                <w:b/>
                <w:color w:val="auto"/>
                <w:lang w:val="uk-UA"/>
              </w:rPr>
              <w:t>jpg</w:t>
            </w:r>
            <w:proofErr w:type="spellEnd"/>
            <w:r w:rsidRPr="004C671F">
              <w:rPr>
                <w:b/>
                <w:color w:val="auto"/>
                <w:lang w:val="uk-UA"/>
              </w:rPr>
              <w:t>) вигляді в складі своєї пропозиції: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–</w:t>
            </w:r>
            <w:r w:rsidRPr="004C671F">
              <w:rPr>
                <w:color w:val="auto"/>
                <w:lang w:val="uk-UA"/>
              </w:rPr>
              <w:tab/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–  контактні дані компанії-учасника (з зазначенням реквізитів учасника: назви, коду ЄДРПОУ, </w:t>
            </w:r>
            <w:proofErr w:type="spellStart"/>
            <w:r w:rsidRPr="004C671F">
              <w:rPr>
                <w:color w:val="auto"/>
                <w:lang w:val="uk-UA"/>
              </w:rPr>
              <w:t>міс-цезнаходження</w:t>
            </w:r>
            <w:proofErr w:type="spellEnd"/>
            <w:r w:rsidRPr="004C671F">
              <w:rPr>
                <w:color w:val="auto"/>
                <w:lang w:val="uk-UA"/>
              </w:rPr>
              <w:t xml:space="preserve">, юридичної, поштової адреси, телефону, електронної адреси; відомостей про </w:t>
            </w:r>
            <w:proofErr w:type="spellStart"/>
            <w:r w:rsidRPr="004C671F">
              <w:rPr>
                <w:color w:val="auto"/>
                <w:lang w:val="uk-UA"/>
              </w:rPr>
              <w:t>кон-тактну</w:t>
            </w:r>
            <w:proofErr w:type="spellEnd"/>
            <w:r w:rsidRPr="004C671F">
              <w:rPr>
                <w:color w:val="auto"/>
                <w:lang w:val="uk-UA"/>
              </w:rPr>
              <w:t xml:space="preserve"> особу (прізвище, ім’я, по-батькові, посада, контактний телефон).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4C671F">
              <w:rPr>
                <w:b/>
                <w:color w:val="auto"/>
                <w:lang w:val="uk-UA"/>
              </w:rPr>
              <w:t>Додаток №1 – Технічні та якісні вимоги до предмету</w:t>
            </w:r>
            <w:r w:rsidRPr="004C671F">
              <w:rPr>
                <w:color w:val="auto"/>
                <w:lang w:val="uk-UA"/>
              </w:rPr>
              <w:t xml:space="preserve"> закупівлі;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4C671F">
              <w:rPr>
                <w:b/>
                <w:color w:val="auto"/>
                <w:lang w:val="uk-UA"/>
              </w:rPr>
              <w:t xml:space="preserve">Додаток №2 – </w:t>
            </w:r>
            <w:proofErr w:type="spellStart"/>
            <w:r w:rsidRPr="004C671F">
              <w:rPr>
                <w:b/>
                <w:color w:val="auto"/>
                <w:lang w:val="uk-UA"/>
              </w:rPr>
              <w:t>Проєкт</w:t>
            </w:r>
            <w:proofErr w:type="spellEnd"/>
            <w:r w:rsidRPr="004C671F">
              <w:rPr>
                <w:b/>
                <w:color w:val="auto"/>
                <w:lang w:val="uk-UA"/>
              </w:rPr>
              <w:t xml:space="preserve"> договору</w:t>
            </w:r>
            <w:r w:rsidRPr="004C671F">
              <w:rPr>
                <w:color w:val="auto"/>
                <w:lang w:val="uk-UA"/>
              </w:rPr>
              <w:t>;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4C671F">
              <w:rPr>
                <w:b/>
                <w:color w:val="auto"/>
                <w:lang w:val="uk-UA"/>
              </w:rPr>
              <w:t>Додаток №3 – Цінова пропозиція;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4C671F">
              <w:rPr>
                <w:b/>
                <w:color w:val="auto"/>
                <w:lang w:val="uk-UA"/>
              </w:rPr>
              <w:t>Додаток №4 – Лист-згода.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b/>
                <w:color w:val="auto"/>
                <w:lang w:val="uk-UA"/>
              </w:rPr>
              <w:t>Примітки:</w:t>
            </w:r>
            <w:r w:rsidRPr="004C671F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lang w:val="uk-UA"/>
              </w:rPr>
            </w:pPr>
            <w:r w:rsidRPr="004C671F">
              <w:rPr>
                <w:b/>
                <w:color w:val="auto"/>
                <w:lang w:val="uk-UA"/>
              </w:rPr>
              <w:t>Додаткова інформація: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</w:t>
            </w:r>
            <w:proofErr w:type="spellStart"/>
            <w:r w:rsidRPr="004C671F">
              <w:rPr>
                <w:color w:val="auto"/>
                <w:lang w:val="uk-UA"/>
              </w:rPr>
              <w:t>закуповується</w:t>
            </w:r>
            <w:proofErr w:type="spellEnd"/>
            <w:r w:rsidRPr="004C671F">
              <w:rPr>
                <w:color w:val="auto"/>
                <w:lang w:val="uk-UA"/>
              </w:rPr>
              <w:t>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Учасник </w:t>
            </w:r>
            <w:r w:rsidRPr="004C671F">
              <w:rPr>
                <w:color w:val="auto"/>
                <w:lang w:val="uk-UA"/>
              </w:rPr>
              <w:lastRenderedPageBreak/>
              <w:t>повинен накласти удосконалений електронний підпис (УЕП) або кваліфікований електронний підпис (КЕП) на пропозицію або на кожен електронний документ пропозиції окремо.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lang w:val="uk-UA"/>
              </w:rPr>
            </w:pPr>
            <w:r w:rsidRPr="004C671F">
              <w:rPr>
                <w:b/>
                <w:color w:val="auto"/>
                <w:lang w:val="uk-UA"/>
              </w:rPr>
              <w:t>Для укладення договору про закупівлю переможець надає:</w:t>
            </w:r>
          </w:p>
          <w:p w:rsidR="004C671F" w:rsidRPr="004C671F" w:rsidRDefault="004C671F" w:rsidP="004C671F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4C671F">
              <w:rPr>
                <w:color w:val="auto"/>
                <w:lang w:val="uk-UA"/>
              </w:rPr>
              <w:t>1. відповідну інформацію про право підписання договору про закупівлю</w:t>
            </w:r>
          </w:p>
          <w:p w:rsidR="00C068FE" w:rsidRPr="00830F95" w:rsidRDefault="004C671F" w:rsidP="004C671F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C671F">
              <w:rPr>
                <w:lang w:val="uk-UA"/>
              </w:rPr>
              <w:t xml:space="preserve">2. копію ліцензії або документа дозвільного характеру (у разі їх наявності) на провадження </w:t>
            </w:r>
            <w:proofErr w:type="spellStart"/>
            <w:r w:rsidRPr="004C671F">
              <w:rPr>
                <w:lang w:val="uk-UA"/>
              </w:rPr>
              <w:t>певно-го</w:t>
            </w:r>
            <w:proofErr w:type="spellEnd"/>
            <w:r w:rsidRPr="004C671F">
              <w:rPr>
                <w:lang w:val="uk-UA"/>
              </w:rPr>
              <w:t xml:space="preserve">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C068FE" w:rsidRPr="0070419A" w:rsidRDefault="00C068FE" w:rsidP="00C068FE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C068FE" w:rsidRPr="00B210FC" w:rsidRDefault="00C068FE" w:rsidP="00C068FE">
      <w:pPr>
        <w:rPr>
          <w:lang w:val="uk-UA"/>
        </w:rPr>
      </w:pPr>
    </w:p>
    <w:p w:rsidR="000658E3" w:rsidRPr="00C068FE" w:rsidRDefault="000658E3">
      <w:pPr>
        <w:rPr>
          <w:lang w:val="uk-UA"/>
        </w:rPr>
      </w:pPr>
    </w:p>
    <w:sectPr w:rsidR="000658E3" w:rsidRPr="00C068FE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E"/>
    <w:rsid w:val="000658E3"/>
    <w:rsid w:val="000B1538"/>
    <w:rsid w:val="00233F2A"/>
    <w:rsid w:val="0038528E"/>
    <w:rsid w:val="004C671F"/>
    <w:rsid w:val="00573A25"/>
    <w:rsid w:val="00B254E9"/>
    <w:rsid w:val="00C068FE"/>
    <w:rsid w:val="00C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8FE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C068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C068F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C068FE"/>
  </w:style>
  <w:style w:type="paragraph" w:customStyle="1" w:styleId="Textbody">
    <w:name w:val="Text body"/>
    <w:basedOn w:val="Standard"/>
    <w:rsid w:val="00C068FE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8FE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C068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C068F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C068FE"/>
  </w:style>
  <w:style w:type="paragraph" w:customStyle="1" w:styleId="Textbody">
    <w:name w:val="Text body"/>
    <w:basedOn w:val="Standard"/>
    <w:rsid w:val="00C068FE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8</cp:revision>
  <dcterms:created xsi:type="dcterms:W3CDTF">2021-12-13T21:46:00Z</dcterms:created>
  <dcterms:modified xsi:type="dcterms:W3CDTF">2022-08-05T21:28:00Z</dcterms:modified>
</cp:coreProperties>
</file>