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r w:rsidRPr="002E2B2A">
        <w:rPr>
          <w:rFonts w:ascii="Times New Roman" w:hAnsi="Times New Roman"/>
          <w:b/>
          <w:sz w:val="24"/>
          <w:szCs w:val="24"/>
        </w:rPr>
        <w:t>Комунальне підприємство «Спеціалізований комбінат комунально-побутового обслуговування» Житомирської міської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Рішенням уповноваженої особи</w:t>
      </w:r>
    </w:p>
    <w:p w:rsidR="00F52A27" w:rsidRPr="001B7E29" w:rsidRDefault="00F52A27" w:rsidP="001E7E6A">
      <w:pPr>
        <w:widowControl w:val="0"/>
        <w:spacing w:after="0" w:line="240" w:lineRule="auto"/>
        <w:ind w:firstLine="4820"/>
        <w:rPr>
          <w:rFonts w:ascii="Times New Roman" w:hAnsi="Times New Roman"/>
          <w:sz w:val="24"/>
          <w:szCs w:val="24"/>
        </w:rPr>
      </w:pPr>
      <w:r w:rsidRPr="001B7E29">
        <w:rPr>
          <w:rFonts w:ascii="Times New Roman" w:hAnsi="Times New Roman"/>
          <w:sz w:val="24"/>
          <w:szCs w:val="24"/>
        </w:rPr>
        <w:t xml:space="preserve">Протокол № </w:t>
      </w:r>
      <w:r w:rsidR="00AC639C">
        <w:rPr>
          <w:rFonts w:ascii="Times New Roman" w:hAnsi="Times New Roman"/>
          <w:sz w:val="24"/>
          <w:szCs w:val="24"/>
          <w:lang w:val="uk-UA"/>
        </w:rPr>
        <w:t>1004</w:t>
      </w:r>
      <w:r w:rsidRPr="001B7E29">
        <w:rPr>
          <w:rFonts w:ascii="Times New Roman" w:hAnsi="Times New Roman"/>
          <w:sz w:val="24"/>
          <w:szCs w:val="24"/>
        </w:rPr>
        <w:t>-2</w:t>
      </w:r>
      <w:r w:rsidR="00036540" w:rsidRPr="001B7E29">
        <w:rPr>
          <w:rFonts w:ascii="Times New Roman" w:hAnsi="Times New Roman"/>
          <w:sz w:val="24"/>
          <w:szCs w:val="24"/>
          <w:lang w:val="uk-UA"/>
        </w:rPr>
        <w:t>4</w:t>
      </w:r>
      <w:r w:rsidRPr="001B7E29">
        <w:rPr>
          <w:rFonts w:ascii="Times New Roman" w:hAnsi="Times New Roman"/>
          <w:sz w:val="24"/>
          <w:szCs w:val="24"/>
        </w:rPr>
        <w:t>/1</w:t>
      </w:r>
    </w:p>
    <w:p w:rsidR="00F52A27" w:rsidRPr="000637AF" w:rsidRDefault="00F52A27" w:rsidP="001E7E6A">
      <w:pPr>
        <w:widowControl w:val="0"/>
        <w:spacing w:after="0" w:line="240" w:lineRule="auto"/>
        <w:ind w:firstLine="4820"/>
        <w:rPr>
          <w:rFonts w:ascii="Times New Roman" w:hAnsi="Times New Roman"/>
          <w:color w:val="FF0000"/>
          <w:sz w:val="24"/>
          <w:szCs w:val="24"/>
        </w:rPr>
      </w:pPr>
      <w:r w:rsidRPr="001B7E29">
        <w:rPr>
          <w:rFonts w:ascii="Times New Roman" w:hAnsi="Times New Roman"/>
          <w:sz w:val="24"/>
          <w:szCs w:val="24"/>
        </w:rPr>
        <w:t>від «</w:t>
      </w:r>
      <w:r w:rsidR="00AC639C">
        <w:rPr>
          <w:rFonts w:ascii="Times New Roman" w:hAnsi="Times New Roman"/>
          <w:sz w:val="24"/>
          <w:szCs w:val="24"/>
          <w:lang w:val="uk-UA"/>
        </w:rPr>
        <w:t>10</w:t>
      </w:r>
      <w:r w:rsidRPr="001B7E29">
        <w:rPr>
          <w:rFonts w:ascii="Times New Roman" w:hAnsi="Times New Roman"/>
          <w:sz w:val="24"/>
          <w:szCs w:val="24"/>
        </w:rPr>
        <w:t xml:space="preserve">» </w:t>
      </w:r>
      <w:r w:rsidR="00204B10">
        <w:rPr>
          <w:rFonts w:ascii="Times New Roman" w:hAnsi="Times New Roman"/>
          <w:sz w:val="24"/>
          <w:szCs w:val="24"/>
          <w:lang w:val="uk-UA"/>
        </w:rPr>
        <w:t>квітня</w:t>
      </w:r>
      <w:r w:rsidRPr="001B7E29">
        <w:rPr>
          <w:rFonts w:ascii="Times New Roman" w:hAnsi="Times New Roman"/>
          <w:sz w:val="24"/>
          <w:szCs w:val="24"/>
        </w:rPr>
        <w:t xml:space="preserve"> 202</w:t>
      </w:r>
      <w:r w:rsidR="00036540" w:rsidRPr="001B7E29">
        <w:rPr>
          <w:rFonts w:ascii="Times New Roman" w:hAnsi="Times New Roman"/>
          <w:sz w:val="24"/>
          <w:szCs w:val="24"/>
          <w:lang w:val="uk-UA"/>
        </w:rPr>
        <w:t>4</w:t>
      </w:r>
      <w:r w:rsidRPr="001B7E29">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Уповноважена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204B10" w:rsidRDefault="00204B10" w:rsidP="002C3A2A">
      <w:pPr>
        <w:spacing w:before="240" w:after="0" w:line="240" w:lineRule="auto"/>
        <w:jc w:val="center"/>
        <w:rPr>
          <w:rFonts w:ascii="Times New Roman" w:hAnsi="Times New Roman"/>
          <w:b/>
          <w:bCs/>
          <w:sz w:val="28"/>
          <w:szCs w:val="28"/>
          <w:lang w:val="uk-UA" w:eastAsia="ru-RU"/>
        </w:rPr>
      </w:pPr>
    </w:p>
    <w:p w:rsidR="00DD2286" w:rsidRPr="00AC639C" w:rsidRDefault="00AC639C" w:rsidP="00AC639C">
      <w:pPr>
        <w:spacing w:before="240" w:after="0" w:line="240" w:lineRule="auto"/>
        <w:jc w:val="center"/>
        <w:rPr>
          <w:rFonts w:ascii="Times New Roman" w:hAnsi="Times New Roman"/>
          <w:b/>
          <w:bCs/>
          <w:sz w:val="28"/>
          <w:szCs w:val="28"/>
          <w:lang w:eastAsia="ru-RU"/>
        </w:rPr>
      </w:pPr>
      <w:r w:rsidRPr="00AC639C">
        <w:rPr>
          <w:rFonts w:ascii="Times New Roman" w:hAnsi="Times New Roman"/>
          <w:b/>
          <w:bCs/>
          <w:sz w:val="28"/>
          <w:szCs w:val="28"/>
          <w:lang w:eastAsia="ru-RU"/>
        </w:rPr>
        <w:t>Бетон товарний М-150</w:t>
      </w:r>
      <w:r w:rsidR="00204B10" w:rsidRPr="00204B10">
        <w:rPr>
          <w:rFonts w:ascii="Times New Roman" w:hAnsi="Times New Roman"/>
          <w:b/>
          <w:bCs/>
          <w:sz w:val="28"/>
          <w:szCs w:val="28"/>
          <w:lang w:eastAsia="ru-RU"/>
        </w:rPr>
        <w:t xml:space="preserve">– за кодом </w:t>
      </w:r>
      <w:r w:rsidR="00204B10" w:rsidRPr="000637AF">
        <w:rPr>
          <w:rFonts w:ascii="Times New Roman" w:hAnsi="Times New Roman"/>
          <w:b/>
          <w:bCs/>
          <w:sz w:val="28"/>
          <w:szCs w:val="28"/>
          <w:lang w:val="uk-UA" w:eastAsia="ru-RU"/>
        </w:rPr>
        <w:t xml:space="preserve">CPV за </w:t>
      </w:r>
      <w:r w:rsidR="00204B10">
        <w:rPr>
          <w:rFonts w:ascii="Times New Roman" w:hAnsi="Times New Roman"/>
          <w:b/>
          <w:bCs/>
          <w:sz w:val="28"/>
          <w:szCs w:val="28"/>
          <w:lang w:val="uk-UA" w:eastAsia="ru-RU"/>
        </w:rPr>
        <w:t xml:space="preserve"> </w:t>
      </w:r>
      <w:r w:rsidR="00204B10" w:rsidRPr="00204B10">
        <w:rPr>
          <w:rFonts w:ascii="Times New Roman" w:hAnsi="Times New Roman"/>
          <w:b/>
          <w:bCs/>
          <w:sz w:val="28"/>
          <w:szCs w:val="28"/>
          <w:lang w:eastAsia="ru-RU"/>
        </w:rPr>
        <w:t xml:space="preserve">ДК 021:2015 – </w:t>
      </w:r>
      <w:r w:rsidRPr="00AC639C">
        <w:rPr>
          <w:rFonts w:ascii="Times New Roman" w:hAnsi="Times New Roman"/>
          <w:b/>
          <w:bCs/>
          <w:sz w:val="28"/>
          <w:szCs w:val="28"/>
          <w:lang w:eastAsia="ru-RU"/>
        </w:rPr>
        <w:t>44110000-4 – Конструкційні матеріали.</w:t>
      </w:r>
    </w:p>
    <w:p w:rsidR="00546DA4" w:rsidRPr="00AC639C" w:rsidRDefault="00546DA4" w:rsidP="002C3A2A">
      <w:pPr>
        <w:widowControl w:val="0"/>
        <w:jc w:val="center"/>
        <w:rPr>
          <w:rFonts w:ascii="Times New Roman" w:hAnsi="Times New Roman"/>
          <w:b/>
          <w:bCs/>
          <w:sz w:val="24"/>
          <w:szCs w:val="24"/>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41491E" w:rsidRPr="00DD2286" w:rsidRDefault="0041491E" w:rsidP="002C3A2A">
      <w:pPr>
        <w:widowControl w:val="0"/>
        <w:jc w:val="center"/>
        <w:rPr>
          <w:rFonts w:ascii="Times New Roman" w:hAnsi="Times New Roman"/>
          <w:b/>
          <w:bCs/>
          <w:sz w:val="24"/>
          <w:szCs w:val="24"/>
          <w:lang w:val="uk-UA"/>
        </w:rPr>
      </w:pPr>
    </w:p>
    <w:p w:rsidR="00F52A27" w:rsidRPr="007F0AE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10003, Житомирська область, місто Житомир, провулок Козубського, будинок 5</w:t>
            </w:r>
          </w:p>
        </w:tc>
      </w:tr>
      <w:tr w:rsidR="00F52A27" w:rsidRPr="00AC639C"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місто Житомир, провулок Козубського,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 xml:space="preserve">e-mail: </w:t>
            </w:r>
            <w:hyperlink r:id="rId7"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0637AF"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AC639C" w:rsidP="00036540">
            <w:pPr>
              <w:spacing w:after="0" w:line="240" w:lineRule="auto"/>
              <w:jc w:val="both"/>
              <w:rPr>
                <w:rFonts w:ascii="Times New Roman" w:hAnsi="Times New Roman"/>
                <w:iCs/>
                <w:sz w:val="24"/>
                <w:szCs w:val="24"/>
                <w:lang w:val="uk-UA"/>
              </w:rPr>
            </w:pPr>
            <w:r w:rsidRPr="00AC639C">
              <w:rPr>
                <w:rFonts w:ascii="Times New Roman" w:hAnsi="Times New Roman"/>
                <w:sz w:val="24"/>
                <w:szCs w:val="24"/>
                <w:lang w:val="uk-UA"/>
              </w:rPr>
              <w:t>Бетон товарний М-150– за кодом CPV за  ДК 021:2015 – 44110000-4 – Конструкційні матеріали.</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0637AF" w:rsidRPr="00204B10" w:rsidRDefault="00AC639C" w:rsidP="00AC639C">
            <w:pPr>
              <w:pStyle w:val="a4"/>
              <w:widowControl w:val="0"/>
              <w:numPr>
                <w:ilvl w:val="0"/>
                <w:numId w:val="37"/>
              </w:numPr>
              <w:spacing w:after="0" w:line="240" w:lineRule="auto"/>
              <w:ind w:right="120"/>
              <w:jc w:val="both"/>
              <w:rPr>
                <w:rFonts w:ascii="Times New Roman" w:hAnsi="Times New Roman"/>
                <w:sz w:val="24"/>
                <w:szCs w:val="24"/>
                <w:lang w:val="uk-UA"/>
              </w:rPr>
            </w:pPr>
            <w:r w:rsidRPr="00AC639C">
              <w:rPr>
                <w:rFonts w:ascii="Times New Roman" w:eastAsia="Times New Roman" w:hAnsi="Times New Roman"/>
                <w:color w:val="000000"/>
                <w:sz w:val="24"/>
                <w:szCs w:val="24"/>
                <w:lang w:val="uk-UA" w:eastAsia="ru-RU"/>
              </w:rPr>
              <w:t>Бетон товарний М-150</w:t>
            </w:r>
            <w:r w:rsidR="000637AF">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250</w:t>
            </w:r>
            <w:r w:rsidR="000637AF">
              <w:rPr>
                <w:rFonts w:ascii="Times New Roman" w:eastAsia="Times New Roman" w:hAnsi="Times New Roman"/>
                <w:color w:val="000000"/>
                <w:sz w:val="24"/>
                <w:szCs w:val="24"/>
                <w:lang w:val="uk-UA" w:eastAsia="ru-RU"/>
              </w:rPr>
              <w:t xml:space="preserve"> </w:t>
            </w:r>
            <w:r w:rsidRPr="00AC639C">
              <w:rPr>
                <w:rFonts w:ascii="Times New Roman" w:eastAsia="Times New Roman" w:hAnsi="Times New Roman"/>
                <w:color w:val="000000"/>
                <w:sz w:val="24"/>
                <w:szCs w:val="24"/>
                <w:lang w:val="uk-UA" w:eastAsia="ru-RU"/>
              </w:rPr>
              <w:t>куб.м.</w:t>
            </w:r>
            <w:r w:rsidR="000637AF">
              <w:rPr>
                <w:rFonts w:ascii="Times New Roman" w:eastAsia="Times New Roman" w:hAnsi="Times New Roman"/>
                <w:color w:val="000000"/>
                <w:sz w:val="24"/>
                <w:szCs w:val="24"/>
                <w:lang w:val="uk-UA" w:eastAsia="ru-RU"/>
              </w:rPr>
              <w:t xml:space="preserve">. </w:t>
            </w:r>
          </w:p>
          <w:p w:rsidR="00F52A27" w:rsidRPr="000637AF" w:rsidRDefault="00F52A27" w:rsidP="000637AF">
            <w:pPr>
              <w:widowControl w:val="0"/>
              <w:spacing w:after="0" w:line="240" w:lineRule="auto"/>
              <w:ind w:right="120"/>
              <w:jc w:val="both"/>
              <w:rPr>
                <w:rFonts w:ascii="Times New Roman" w:hAnsi="Times New Roman"/>
                <w:sz w:val="24"/>
                <w:szCs w:val="24"/>
                <w:lang w:val="uk-UA"/>
              </w:rPr>
            </w:pPr>
            <w:r w:rsidRPr="000637AF">
              <w:rPr>
                <w:rFonts w:ascii="Times New Roman" w:hAnsi="Times New Roman"/>
                <w:color w:val="000000"/>
                <w:sz w:val="24"/>
                <w:szCs w:val="24"/>
                <w:lang w:val="uk-UA" w:eastAsia="ru-RU"/>
              </w:rPr>
              <w:t>Місце поставки товарів: Україна, 10003, Житомирська область, місто Житомир, провулок Козубського, 5</w:t>
            </w:r>
            <w:r w:rsidR="004F70B3" w:rsidRPr="000637AF">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546DA4">
              <w:rPr>
                <w:rFonts w:ascii="Times New Roman" w:hAnsi="Times New Roman"/>
                <w:sz w:val="24"/>
                <w:szCs w:val="24"/>
                <w:lang w:val="uk-UA" w:eastAsia="ru-RU"/>
              </w:rPr>
              <w:t xml:space="preserve">/Ісламської Республіки </w:t>
            </w:r>
            <w:r w:rsidR="00957CB5">
              <w:rPr>
                <w:rFonts w:ascii="Times New Roman" w:hAnsi="Times New Roman"/>
                <w:sz w:val="24"/>
                <w:szCs w:val="24"/>
                <w:lang w:val="uk-UA" w:eastAsia="ru-RU"/>
              </w:rPr>
              <w:t>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BE27EA">
              <w:rPr>
                <w:rFonts w:ascii="Times New Roman" w:hAnsi="Times New Roman"/>
                <w:sz w:val="24"/>
                <w:szCs w:val="24"/>
                <w:lang w:val="uk-UA" w:eastAsia="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2C48E0">
              <w:rPr>
                <w:rFonts w:ascii="Times New Roman" w:hAnsi="Times New Roman"/>
                <w:bCs/>
                <w:sz w:val="24"/>
                <w:szCs w:val="24"/>
                <w:lang w:val="uk-UA" w:eastAsia="ru-RU"/>
              </w:rPr>
              <w:lastRenderedPageBreak/>
              <w:t xml:space="preserve">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заповнений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з боку Учасника</w:t>
            </w:r>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r w:rsidRPr="00EB7900">
              <w:rPr>
                <w:rFonts w:ascii="Times New Roman" w:hAnsi="Times New Roman"/>
                <w:sz w:val="24"/>
                <w:szCs w:val="24"/>
                <w:lang w:eastAsia="ru-RU"/>
              </w:rPr>
              <w:t xml:space="preserve">овідка, складена у довільній формі, за підписом </w:t>
            </w:r>
            <w:r w:rsidRPr="00EB7900">
              <w:rPr>
                <w:rFonts w:ascii="Times New Roman" w:hAnsi="Times New Roman"/>
                <w:sz w:val="24"/>
                <w:szCs w:val="24"/>
                <w:lang w:eastAsia="ru-RU"/>
              </w:rPr>
              <w:lastRenderedPageBreak/>
              <w:t xml:space="preserve">уповноваженої особи Учасника та завірена печаткою </w:t>
            </w:r>
            <w:r w:rsidRPr="00EB7900">
              <w:rPr>
                <w:rFonts w:ascii="Times New Roman" w:hAnsi="Times New Roman"/>
                <w:i/>
                <w:iCs/>
                <w:sz w:val="24"/>
                <w:szCs w:val="24"/>
                <w:lang w:eastAsia="ru-RU"/>
              </w:rPr>
              <w:t>(за наявності)</w:t>
            </w:r>
            <w:r w:rsidRPr="00EB7900">
              <w:rPr>
                <w:rFonts w:ascii="Times New Roman" w:hAnsi="Times New Roman"/>
                <w:sz w:val="24"/>
                <w:szCs w:val="24"/>
                <w:lang w:eastAsia="ru-RU"/>
              </w:rPr>
              <w:t xml:space="preserve"> яка містить відомості про підприємство: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повне та скорочене найменування Учасника,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*реквізити (місце реєстрації, фактичне місцезнаходження, телефон, електронна пошта);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*керівництво та уповноважена особа на підпис договору (посада, прізвище, ім’я, по батькові);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*статус платника податку;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w:t>
            </w:r>
            <w:r w:rsidRPr="00EB7900">
              <w:rPr>
                <w:rFonts w:ascii="Times New Roman" w:hAnsi="Times New Roman"/>
                <w:bCs/>
                <w:sz w:val="24"/>
                <w:szCs w:val="24"/>
                <w:lang w:val="uk-UA" w:eastAsia="ru-RU"/>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r w:rsidRPr="00EB7900">
              <w:rPr>
                <w:rFonts w:ascii="Times New Roman" w:hAnsi="Times New Roman"/>
                <w:bCs/>
                <w:sz w:val="24"/>
                <w:szCs w:val="24"/>
                <w:lang w:val="uk-UA" w:eastAsia="ru-RU"/>
              </w:rPr>
              <w:lastRenderedPageBreak/>
              <w:t>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r w:rsidRPr="00EB7900">
              <w:rPr>
                <w:rFonts w:ascii="Times New Roman" w:hAnsi="Times New Roman"/>
                <w:bCs/>
                <w:iCs/>
                <w:sz w:val="24"/>
                <w:szCs w:val="24"/>
                <w:lang w:eastAsia="ru-RU"/>
              </w:rPr>
              <w:t>Кожен учасник має право подати тільки одну тендерну пропозицію.</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1675B4">
              <w:rPr>
                <w:rFonts w:ascii="Times New Roman" w:eastAsia="SimSun" w:hAnsi="Times New Roman"/>
                <w:color w:val="000000"/>
                <w:kern w:val="2"/>
                <w:sz w:val="24"/>
                <w:szCs w:val="24"/>
                <w:lang w:eastAsia="zh-CN"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За надання недостовірної інформації учасник несе</w:t>
            </w:r>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відповідальність відповідно до вимог чинного законодавства.</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AC639C"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AC639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2) відомості про юридичну особу, яка є учасником процедури закупівлі, внесено до Єдиного державного </w:t>
            </w:r>
            <w:r w:rsidRPr="00EB7900">
              <w:rPr>
                <w:rFonts w:ascii="Times New Roman" w:hAnsi="Times New Roman"/>
                <w:sz w:val="24"/>
                <w:szCs w:val="24"/>
                <w:lang w:val="uk-UA"/>
              </w:rPr>
              <w:lastRenderedPageBreak/>
              <w:t>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EB7900">
              <w:rPr>
                <w:rFonts w:ascii="Times New Roman" w:hAnsi="Times New Roman"/>
                <w:sz w:val="24"/>
                <w:szCs w:val="24"/>
                <w:lang w:val="uk-UA"/>
              </w:rPr>
              <w:lastRenderedPageBreak/>
              <w:t>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w:t>
            </w:r>
            <w:r w:rsidRPr="002C48E0">
              <w:rPr>
                <w:sz w:val="24"/>
                <w:szCs w:val="24"/>
                <w:lang w:val="uk-UA" w:eastAsia="x-non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AC639C"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AC639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204B10">
              <w:rPr>
                <w:rFonts w:ascii="Times New Roman" w:hAnsi="Times New Roman"/>
                <w:sz w:val="24"/>
                <w:szCs w:val="24"/>
                <w:lang w:val="uk-UA" w:eastAsia="ru-RU"/>
              </w:rPr>
              <w:t>1</w:t>
            </w:r>
            <w:r w:rsidR="00AC639C">
              <w:rPr>
                <w:rFonts w:ascii="Times New Roman" w:hAnsi="Times New Roman"/>
                <w:sz w:val="24"/>
                <w:szCs w:val="24"/>
                <w:lang w:val="uk-UA" w:eastAsia="ru-RU"/>
              </w:rPr>
              <w:t>8</w:t>
            </w:r>
            <w:bookmarkStart w:id="1" w:name="_GoBack"/>
            <w:bookmarkEnd w:id="1"/>
            <w:r w:rsidRPr="00387727">
              <w:rPr>
                <w:rFonts w:ascii="Times New Roman" w:hAnsi="Times New Roman"/>
                <w:sz w:val="24"/>
                <w:szCs w:val="24"/>
                <w:lang w:val="uk-UA" w:eastAsia="ru-RU"/>
              </w:rPr>
              <w:t>.</w:t>
            </w:r>
            <w:r w:rsidR="00387727" w:rsidRPr="00387727">
              <w:rPr>
                <w:rFonts w:ascii="Times New Roman" w:hAnsi="Times New Roman"/>
                <w:sz w:val="24"/>
                <w:szCs w:val="24"/>
                <w:lang w:val="uk-UA" w:eastAsia="ru-RU"/>
              </w:rPr>
              <w:t>0</w:t>
            </w:r>
            <w:r w:rsidR="00204B10">
              <w:rPr>
                <w:rFonts w:ascii="Times New Roman" w:hAnsi="Times New Roman"/>
                <w:sz w:val="24"/>
                <w:szCs w:val="24"/>
                <w:lang w:val="uk-UA" w:eastAsia="ru-RU"/>
              </w:rPr>
              <w:t>4</w:t>
            </w:r>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У разі внесення змін до тендерної документації строк для подання тендерних пропозицій продовжується в </w:t>
            </w:r>
            <w:r w:rsidRPr="00EB7900">
              <w:rPr>
                <w:rFonts w:ascii="Times New Roman" w:hAnsi="Times New Roman"/>
                <w:color w:val="000000"/>
                <w:sz w:val="24"/>
                <w:szCs w:val="24"/>
                <w:lang w:val="uk-UA"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AC639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EB7900">
              <w:rPr>
                <w:rFonts w:ascii="Times New Roman" w:hAnsi="Times New Roman"/>
                <w:b/>
                <w:bCs/>
                <w:color w:val="000000"/>
                <w:sz w:val="24"/>
                <w:szCs w:val="24"/>
                <w:lang w:val="uk-UA" w:eastAsia="ru-RU"/>
              </w:rPr>
              <w:lastRenderedPageBreak/>
              <w:t>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проводиться електронною системою закупівель автоматично на основі критеріїв і </w:t>
            </w:r>
            <w:r w:rsidRPr="00EB7900">
              <w:rPr>
                <w:rFonts w:ascii="Times New Roman" w:hAnsi="Times New Roman"/>
                <w:sz w:val="24"/>
                <w:szCs w:val="24"/>
                <w:lang w:val="uk-UA" w:eastAsia="ru-RU"/>
              </w:rPr>
              <w:lastRenderedPageBreak/>
              <w:t>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w:t>
            </w:r>
            <w:r w:rsidRPr="00EB7900">
              <w:rPr>
                <w:rFonts w:ascii="Times New Roman" w:hAnsi="Times New Roman"/>
                <w:sz w:val="24"/>
                <w:szCs w:val="24"/>
                <w:lang w:val="uk-UA" w:eastAsia="ru-RU"/>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EB7900">
              <w:rPr>
                <w:rFonts w:ascii="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5. У складі тендерної пропозиції немає документа </w:t>
            </w:r>
            <w:r w:rsidRPr="00EB7900">
              <w:rPr>
                <w:rFonts w:ascii="Times New Roman" w:hAnsi="Times New Roman"/>
                <w:sz w:val="24"/>
                <w:szCs w:val="24"/>
                <w:lang w:val="uk-UA"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«м.київ» замість «м.Київ»;</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-ок» замість «поря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«ненадається»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w:t>
            </w:r>
            <w:r w:rsidRPr="001675B4">
              <w:rPr>
                <w:rFonts w:ascii="Times New Roman" w:hAnsi="Times New Roman"/>
                <w:sz w:val="24"/>
                <w:szCs w:val="24"/>
                <w:lang w:val="uk-UA" w:eastAsia="uk-UA"/>
              </w:rPr>
              <w:lastRenderedPageBreak/>
              <w:t>(PortableDocumentFormat)».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AC639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w:t>
            </w:r>
            <w:r w:rsidRPr="00EB7900">
              <w:rPr>
                <w:rFonts w:ascii="Times New Roman" w:hAnsi="Times New Roman"/>
                <w:sz w:val="24"/>
                <w:szCs w:val="24"/>
                <w:lang w:val="uk-UA" w:eastAsia="ru-RU"/>
              </w:rPr>
              <w:lastRenderedPageBreak/>
              <w:t>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підтверджує, </w:t>
            </w:r>
            <w:r w:rsidRPr="0012297E">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AC639C"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Інформація про відміну відкритих торгів автоматично </w:t>
            </w:r>
            <w:r w:rsidRPr="00EB7900">
              <w:rPr>
                <w:rFonts w:ascii="Times New Roman" w:hAnsi="Times New Roman"/>
                <w:sz w:val="24"/>
                <w:szCs w:val="24"/>
                <w:lang w:val="uk-UA" w:eastAsia="uk-UA"/>
              </w:rPr>
              <w:lastRenderedPageBreak/>
              <w:t>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2A27" w:rsidRPr="00AC639C"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Проєкт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визначення грошового еквівалента зобов’язання в іноземній валюті;</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 xml:space="preserve">У випадку ненадання переможцем інформації про право підписання договору про закупівлю переможець </w:t>
            </w:r>
            <w:r w:rsidRPr="001675B4">
              <w:rPr>
                <w:rFonts w:ascii="Times New Roman" w:hAnsi="Times New Roman"/>
                <w:i/>
                <w:color w:val="000000"/>
                <w:sz w:val="24"/>
                <w:szCs w:val="24"/>
                <w:lang w:val="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sidRPr="00EB7900">
              <w:rPr>
                <w:rFonts w:ascii="Times New Roman" w:hAnsi="Times New Roman"/>
                <w:sz w:val="24"/>
                <w:szCs w:val="24"/>
                <w:lang w:val="uk-UA"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w:t>
            </w:r>
            <w:r w:rsidRPr="002477E2">
              <w:rPr>
                <w:rFonts w:ascii="Times New Roman" w:hAnsi="Times New Roman"/>
                <w:sz w:val="24"/>
                <w:szCs w:val="24"/>
                <w:lang w:val="uk-UA" w:eastAsia="ru-RU"/>
              </w:rPr>
              <w:lastRenderedPageBreak/>
              <w:t>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кал.днів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2"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F6" w:rsidRDefault="006E3FF6" w:rsidP="002C034C">
      <w:pPr>
        <w:spacing w:after="0" w:line="240" w:lineRule="auto"/>
      </w:pPr>
      <w:r>
        <w:separator/>
      </w:r>
    </w:p>
  </w:endnote>
  <w:endnote w:type="continuationSeparator" w:id="0">
    <w:p w:rsidR="006E3FF6" w:rsidRDefault="006E3FF6"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F6" w:rsidRDefault="006E3FF6" w:rsidP="002C034C">
      <w:pPr>
        <w:spacing w:after="0" w:line="240" w:lineRule="auto"/>
      </w:pPr>
      <w:r>
        <w:separator/>
      </w:r>
    </w:p>
  </w:footnote>
  <w:footnote w:type="continuationSeparator" w:id="0">
    <w:p w:rsidR="006E3FF6" w:rsidRDefault="006E3FF6" w:rsidP="002C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15:restartNumberingAfterBreak="0">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15:restartNumberingAfterBreak="0">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15:restartNumberingAfterBreak="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637AF"/>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0D2B"/>
    <w:rsid w:val="000E2C4E"/>
    <w:rsid w:val="000E3B5F"/>
    <w:rsid w:val="000F3077"/>
    <w:rsid w:val="001050EC"/>
    <w:rsid w:val="00110A5F"/>
    <w:rsid w:val="00115431"/>
    <w:rsid w:val="0012249C"/>
    <w:rsid w:val="0012297E"/>
    <w:rsid w:val="00123990"/>
    <w:rsid w:val="0012554A"/>
    <w:rsid w:val="00126B95"/>
    <w:rsid w:val="001276E3"/>
    <w:rsid w:val="00134660"/>
    <w:rsid w:val="00136469"/>
    <w:rsid w:val="00140E96"/>
    <w:rsid w:val="00144B1C"/>
    <w:rsid w:val="00144E76"/>
    <w:rsid w:val="0015177E"/>
    <w:rsid w:val="001675B4"/>
    <w:rsid w:val="00174F5C"/>
    <w:rsid w:val="001A66C8"/>
    <w:rsid w:val="001B7E29"/>
    <w:rsid w:val="001C3193"/>
    <w:rsid w:val="001C790B"/>
    <w:rsid w:val="001D01A7"/>
    <w:rsid w:val="001D0ED9"/>
    <w:rsid w:val="001E1051"/>
    <w:rsid w:val="001E21BC"/>
    <w:rsid w:val="001E7E6A"/>
    <w:rsid w:val="001F7764"/>
    <w:rsid w:val="002008F3"/>
    <w:rsid w:val="0020225B"/>
    <w:rsid w:val="00202313"/>
    <w:rsid w:val="00204B10"/>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1491E"/>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1F62"/>
    <w:rsid w:val="00535431"/>
    <w:rsid w:val="00546121"/>
    <w:rsid w:val="00546DA4"/>
    <w:rsid w:val="005475CA"/>
    <w:rsid w:val="00553769"/>
    <w:rsid w:val="00553E28"/>
    <w:rsid w:val="00553F81"/>
    <w:rsid w:val="00570C67"/>
    <w:rsid w:val="00583075"/>
    <w:rsid w:val="00583434"/>
    <w:rsid w:val="00592F41"/>
    <w:rsid w:val="005A0A46"/>
    <w:rsid w:val="005A69FC"/>
    <w:rsid w:val="005B485F"/>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3FF6"/>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4617"/>
    <w:rsid w:val="00A846F5"/>
    <w:rsid w:val="00A904FE"/>
    <w:rsid w:val="00A943CA"/>
    <w:rsid w:val="00A95D15"/>
    <w:rsid w:val="00A97955"/>
    <w:rsid w:val="00AA4C74"/>
    <w:rsid w:val="00AA7EF9"/>
    <w:rsid w:val="00AC639C"/>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013F"/>
    <w:rsid w:val="00BD24F1"/>
    <w:rsid w:val="00BD48E5"/>
    <w:rsid w:val="00BD726C"/>
    <w:rsid w:val="00BE00CE"/>
    <w:rsid w:val="00BE14E8"/>
    <w:rsid w:val="00BE27EA"/>
    <w:rsid w:val="00BE35AE"/>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93276"/>
  <w15:docId w15:val="{BF142FB7-5BEF-44F4-8C27-632969CA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387216945">
      <w:bodyDiv w:val="1"/>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kpo@ukr.ne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29</Pages>
  <Words>43557</Words>
  <Characters>24828</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cp:lastPrinted>2022-12-22T10:16:00Z</cp:lastPrinted>
  <dcterms:created xsi:type="dcterms:W3CDTF">2023-08-25T06:04:00Z</dcterms:created>
  <dcterms:modified xsi:type="dcterms:W3CDTF">2024-04-10T12:52:00Z</dcterms:modified>
</cp:coreProperties>
</file>