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0" w:leader="none"/>
        </w:tabs>
        <w:ind w:left="0" w:right="-79" w:firstLine="709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Додаток № 2</w:t>
      </w:r>
    </w:p>
    <w:p>
      <w:pPr>
        <w:pStyle w:val="1"/>
        <w:tabs>
          <w:tab w:val="clear" w:pos="708"/>
          <w:tab w:val="left" w:pos="0" w:leader="none"/>
        </w:tabs>
        <w:ind w:left="0" w:right="-79" w:firstLine="709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Загальні вимоги:</w:t>
      </w:r>
    </w:p>
    <w:p>
      <w:pPr>
        <w:pStyle w:val="1"/>
        <w:tabs>
          <w:tab w:val="clear" w:pos="708"/>
          <w:tab w:val="left" w:pos="0" w:leader="none"/>
        </w:tabs>
        <w:ind w:left="0" w:right="-79" w:firstLine="709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Spacing"/>
        <w:suppressAutoHyphens w:val="false"/>
        <w:ind w:firstLine="567"/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val="uk-UA" w:eastAsia="en-US"/>
        </w:rPr>
        <w:t>1. </w:t>
      </w:r>
      <w:r>
        <w:rPr>
          <w:sz w:val="22"/>
          <w:szCs w:val="22"/>
        </w:rPr>
        <w:t xml:space="preserve">Товар, запропонований учасником, повинен бути </w:t>
      </w:r>
      <w:r>
        <w:rPr>
          <w:sz w:val="22"/>
          <w:szCs w:val="22"/>
          <w:lang w:eastAsia="uk-UA"/>
        </w:rPr>
        <w:t xml:space="preserve">дозволений для застосування </w:t>
      </w:r>
      <w:r>
        <w:rPr>
          <w:sz w:val="22"/>
          <w:szCs w:val="22"/>
        </w:rPr>
        <w:t xml:space="preserve">та введений в обіг </w:t>
      </w:r>
      <w:r>
        <w:rPr>
          <w:sz w:val="22"/>
          <w:szCs w:val="22"/>
          <w:lang w:eastAsia="uk-UA"/>
        </w:rPr>
        <w:t>на території України відповідно до законодавства.</w:t>
      </w:r>
    </w:p>
    <w:p>
      <w:pPr>
        <w:pStyle w:val="NoSpacing"/>
        <w:suppressAutoHyphens w:val="false"/>
        <w:ind w:firstLine="567"/>
        <w:jc w:val="both"/>
        <w:rPr>
          <w:i/>
          <w:i/>
          <w:sz w:val="22"/>
          <w:szCs w:val="22"/>
          <w:lang w:val="uk-UA" w:eastAsia="en-US"/>
        </w:rPr>
      </w:pPr>
      <w:r>
        <w:rPr>
          <w:i/>
          <w:sz w:val="22"/>
          <w:szCs w:val="22"/>
          <w:lang w:val="uk-UA" w:eastAsia="en-US"/>
        </w:rPr>
        <w:t>На підтвердження надати засвідчену учасником копію Декларації про відповідність виробу вимогам Технічного регламенту щодо медичних виробів.</w:t>
      </w:r>
    </w:p>
    <w:p>
      <w:pPr>
        <w:pStyle w:val="NoSpacing"/>
        <w:suppressAutoHyphens w:val="false"/>
        <w:ind w:firstLine="567"/>
        <w:jc w:val="both"/>
        <w:rPr>
          <w:i/>
          <w:i/>
          <w:sz w:val="22"/>
          <w:szCs w:val="22"/>
          <w:lang w:val="uk-UA" w:eastAsia="en-US"/>
        </w:rPr>
      </w:pPr>
      <w:r>
        <w:rPr>
          <w:i/>
          <w:sz w:val="22"/>
          <w:szCs w:val="22"/>
          <w:lang w:val="uk-UA" w:eastAsia="en-US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 Товар, запропонований учасником, повинен відповідати наступним вимогам:</w:t>
      </w:r>
    </w:p>
    <w:p>
      <w:pPr>
        <w:pStyle w:val="Normal"/>
        <w:tabs>
          <w:tab w:val="clear" w:pos="708"/>
          <w:tab w:val="left" w:pos="0" w:leader="none"/>
        </w:tabs>
        <w:ind w:right="-81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– </w:t>
      </w:r>
      <w:r>
        <w:rPr>
          <w:rFonts w:cs="Times New Roman" w:ascii="Times New Roman" w:hAnsi="Times New Roman"/>
        </w:rPr>
        <w:t>кожна партія товару, під час поставки, має супроводжуватись документами, що підтверджують його якість із зазначенням даних, що вимагаються чинним законодавством України;</w:t>
      </w:r>
    </w:p>
    <w:p>
      <w:pPr>
        <w:pStyle w:val="Normal"/>
        <w:tabs>
          <w:tab w:val="clear" w:pos="708"/>
          <w:tab w:val="left" w:pos="0" w:leader="none"/>
        </w:tabs>
        <w:ind w:right="-81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– </w:t>
      </w:r>
      <w:r>
        <w:rPr>
          <w:rFonts w:cs="Times New Roman" w:ascii="Times New Roman" w:hAnsi="Times New Roman"/>
        </w:rPr>
        <w:t>на упаковці повинна бути зазначена дата виробництва та термін придатності;</w:t>
      </w:r>
    </w:p>
    <w:p>
      <w:pPr>
        <w:pStyle w:val="Normal"/>
        <w:tabs>
          <w:tab w:val="clear" w:pos="708"/>
          <w:tab w:val="left" w:pos="0" w:leader="none"/>
        </w:tabs>
        <w:ind w:right="-81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– </w:t>
      </w:r>
      <w:r>
        <w:rPr>
          <w:rFonts w:cs="Times New Roman" w:ascii="Times New Roman" w:hAnsi="Times New Roman"/>
        </w:rPr>
        <w:t>товар повинен передаватися в упаковці, яка відповідає характеру товару, забезпечує цілісність товару, збереження його якості під час. Упаковка не повинна бути деформована або пошкоджена;</w:t>
      </w:r>
    </w:p>
    <w:p>
      <w:pPr>
        <w:pStyle w:val="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– </w:t>
      </w:r>
      <w:r>
        <w:rPr>
          <w:rFonts w:cs="Times New Roman" w:ascii="Times New Roman" w:hAnsi="Times New Roman"/>
        </w:rPr>
        <w:t>учасник повинен за власний рахунок забезпечити доставку запропонованого товару за місцем його використання.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</w:rPr>
        <w:t>На підтвердження учасник повинен надати гарантійний лист у довільний формі.</w:t>
      </w:r>
    </w:p>
    <w:p>
      <w:pPr>
        <w:pStyle w:val="Normal"/>
        <w:tabs>
          <w:tab w:val="clear" w:pos="708"/>
          <w:tab w:val="left" w:pos="0" w:leader="none"/>
        </w:tabs>
        <w:ind w:right="-81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</w:rPr>
        <w:t>3.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>Термін придатності товару на момент поставки повинен бути не менше 75% від загального терміну зберігання встановленого виробником.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</w:rPr>
        <w:t>На підтвердження учасник повинен надати гарантійний лист у довільний формі.</w:t>
      </w:r>
    </w:p>
    <w:p>
      <w:pPr>
        <w:pStyle w:val="Normal"/>
        <w:tabs>
          <w:tab w:val="clear" w:pos="708"/>
          <w:tab w:val="left" w:pos="0" w:leader="none"/>
        </w:tabs>
        <w:ind w:right="-8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>4. Поставка товарів здійснюється дрібними партіями, відповідно до потреб закладу, без обмежень мінімального об’єму кількості товару в межах однієї поставки (одного замовлення) товарів, в обсягах та у строк визначений замовленням (заявкою) Замовника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 Учасник повинен підтвердити можливість поставки запропонованого ним товару, у кількості та в терміни, визначені цією тендерною документацією та пропозицією учасника.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(На підтвердження учасник повинен надати гарантійний лист)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i/>
        </w:rPr>
        <w:t xml:space="preserve">6. </w:t>
      </w:r>
      <w:r>
        <w:rPr/>
        <w:t>Учасник повинен надати інформацію щодо застосування заходів із захисту довкілля, у вигляді довідки у довільній формі.</w:t>
      </w:r>
    </w:p>
    <w:p>
      <w:pPr>
        <w:pStyle w:val="11"/>
        <w:widowControl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11"/>
        <w:widowControl/>
        <w:jc w:val="center"/>
        <w:rPr>
          <w:rFonts w:ascii="Times New Roman" w:hAnsi="Times New Roman" w:eastAsia="Times New Roman" w:cs="Times New Roman"/>
          <w:b/>
          <w:b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Вимоги щодо необхідних технічних, якісних та кількісних характеристик предмета </w:t>
      </w:r>
    </w:p>
    <w:p>
      <w:pPr>
        <w:pStyle w:val="11"/>
        <w:widowControl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закупівлі</w:t>
      </w:r>
    </w:p>
    <w:tbl>
      <w:tblPr>
        <w:tblStyle w:val="a3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"/>
        <w:gridCol w:w="1949"/>
        <w:gridCol w:w="1639"/>
        <w:gridCol w:w="4438"/>
        <w:gridCol w:w="779"/>
        <w:gridCol w:w="927"/>
      </w:tblGrid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uk-UA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uk-UA" w:eastAsia="en-US" w:bidi="ar-SA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en-US" w:eastAsia="en-US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uk-UA" w:eastAsia="en-US" w:bidi="ar-SA"/>
              </w:rPr>
              <w:t>п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uk-UA" w:eastAsia="en-US" w:bidi="ar-SA"/>
              </w:rPr>
              <w:t>Код за НК 024:2019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uk-UA" w:eastAsia="en-US" w:bidi="ar-SA"/>
              </w:rPr>
              <w:t>Назва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uk-UA" w:eastAsia="en-US" w:bidi="ar-SA"/>
              </w:rPr>
              <w:t>Медико-технічні вимоги</w:t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uk-UA" w:eastAsia="en-US" w:bidi="ar-SA"/>
              </w:rPr>
              <w:t>Од. виміру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uk-UA" w:eastAsia="en-US" w:bidi="ar-SA"/>
              </w:rPr>
              <w:t>К-сть</w:t>
            </w:r>
          </w:p>
        </w:tc>
      </w:tr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1.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eastAsia="en-US" w:bidi="ar-SA"/>
              </w:rPr>
              <w:t>30591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eastAsia="en-US" w:bidi="ar-SA"/>
              </w:rPr>
              <w:t>Набір реагентів для вимірювання протромбінового часу (ПЧ) IVD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Протромбіновий час, сухий Dia-PT 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8"/>
                <w:szCs w:val="18"/>
                <w:lang w:val="uk-UA" w:bidi="ar-SA"/>
              </w:rPr>
              <w:t>(або еквівалент)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Фасування: 10х10 мл.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 повинен бути ліофілізованим, у комплекті з власним розчинником. Призначений для визначення протромбінового часу, а також факторів II, V, VII і X.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Кількість реагенту на 1 дослідження: не більш як 100 мкл.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Відкриті флакони повинні бути стабільні протягом не менш як 12 днів за температури 2-8°С.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Доступні межі інтерференцій: гепарин ≤ 0,75 МО/мл, гемоглобін ≤ 6,8 г/л, тригліцериди ≤ 9 ммоль/л, білірубін ≤ 270 мкмоль/л.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Точність у межах аналізу: CV&lt;2%.</w:t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15</w:t>
            </w:r>
          </w:p>
        </w:tc>
      </w:tr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2.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18"/>
                <w:szCs w:val="18"/>
                <w:lang w:val="uk-UA" w:bidi="ar-SA"/>
              </w:rPr>
              <w:t>55981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18"/>
                <w:szCs w:val="18"/>
                <w:lang w:val="uk-UA" w:bidi="ar-SA"/>
              </w:rPr>
              <w:t>Активований частковий тромбопластиновий час ІВД, набір, аналіз утворення згустку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АЧТЧ, сухий Dia-PTT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8"/>
                <w:szCs w:val="18"/>
                <w:lang w:val="uk-UA" w:bidi="ar-SA"/>
              </w:rPr>
              <w:t>(або еквівалент)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Фасування: 12х4 мл.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 повинен являти собою ліофілізат фосфоліпіду з мозку кролика, який містить мікронізований кремнезем у буферному середовищі зі стабілізатором.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Призначений для визначення активованого часткового тромбопластинового часу, а також факторів I, II, V, VIII, IX, X, XI та XI.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Кількість реагенту на 1 дослідження: не більш як 50 мкл.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Відкриті флакони повинні бути стабільні протягом не менш як 14 днів за температури 2-8°С.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Доступні межі інтерференцій: гемоглобін ≤ 6,8 г/л, тригліцериди ≤ 10 ммоль/л, білірубін ≤ 240 мкмоль/л.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Точність у межах аналізу: CV&lt;0,6%.</w:t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15</w:t>
            </w:r>
          </w:p>
        </w:tc>
      </w:tr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3.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30593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Кальцію хлорид. Реагент для аналізу утворення згустку IVD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Кальцію хлорид 0,025М Dia-CaC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l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vertAlign w:val="subscript"/>
                <w:lang w:val="uk-UA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8"/>
                <w:szCs w:val="18"/>
                <w:lang w:val="uk-UA" w:bidi="ar-SA"/>
              </w:rPr>
              <w:t>(або еквівалент)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Фасування: 12х16 мл.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0,025М буферний розчин кальцію хлориду із консервантом.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 xml:space="preserve">Готовий до використання.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18"/>
                <w:szCs w:val="18"/>
                <w:lang w:val="uk-UA" w:bidi="ar-SA"/>
              </w:rPr>
              <w:t xml:space="preserve">Відкриті флакони повинні бути стабільні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протягом не менш як 8 тижнів за температури 2-8°С.</w:t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3</w:t>
            </w:r>
          </w:p>
        </w:tc>
      </w:tr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4.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55987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Тромбіновий час ІВД, набір, аналіз утворення згустку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8"/>
                <w:szCs w:val="18"/>
                <w:lang w:val="uk-UA" w:bidi="ar-SA"/>
              </w:rPr>
              <w:t>Тромбіновий час Dia-TT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8"/>
                <w:szCs w:val="18"/>
                <w:lang w:val="uk-UA" w:bidi="ar-SA"/>
              </w:rPr>
              <w:t>(або еквівалент)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Фасування: 12х3 мл.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 повинен бути ліофілізованим, придатним для розчинення дистильованою водою, використання, призначеним для кількісного визначення тромбінового часу.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Кількість розчиненого реагенту на 1 дослідження: не більш як 100 мкл.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Відкриті флакони повинні бути стабільні протягом не менш як 15 днів за температури 2-8°С.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Доступні межі інтерференцій: гемоглобін ≤ 3,4 г/л; тригліцерид ≤ 4 ммоль/л; білірубін ≤ 240 мкмоль/л.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Точність у межах аналізу: CV&lt;2,1%.</w:t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14</w:t>
            </w:r>
          </w:p>
        </w:tc>
      </w:tr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5.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55997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Фібриноген (фактор I) ІВД, набір, аналіз утворення згустку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Фібриноген Dia-FIB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8"/>
                <w:szCs w:val="18"/>
                <w:lang w:val="uk-UA" w:bidi="ar-SA"/>
              </w:rPr>
              <w:t>(або еквівалент)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Фасування: 12х5 мл.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 повинен бути ліофілізованим, придатним для розчинення дистильованою водою, використання, призначеним для кількісного визначення рівнів фібриногену в плазмі методом Клауса.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Кількість розчиненого реагенту на 1 дослідження: не більш як 50 мкл.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Відкриті флакони повинні бути стабільні протягом не менш як 7 днів за температури 2-8°С.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Доступні межі інтерференцій: гепарин ≤ 2,0 МО/мл, гемоглобін ≤ 6,8 г/л, тригліцерид ≤ 10 ммоль/л, білірубін ≤ 340 мкмоль/л.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Точність у межах аналізу: CV&lt;2,2%.</w:t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15</w:t>
            </w:r>
          </w:p>
        </w:tc>
      </w:tr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6.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55997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Фібриноген (фактор I) ІВД, набір, аналіз утворення згустку (розчин імідазолу)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Розчин імідазолу Dia-IMIDAZOL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8"/>
                <w:szCs w:val="18"/>
                <w:lang w:val="uk-UA" w:bidi="ar-SA"/>
              </w:rPr>
              <w:t>(або еквівалент)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41" w:hanging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8"/>
                <w:szCs w:val="18"/>
                <w:lang w:val="uk-UA" w:bidi="ar-SA"/>
              </w:rPr>
              <w:t>Фасування: 12х15 мл.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41" w:hanging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8"/>
                <w:szCs w:val="18"/>
                <w:lang w:val="uk-UA" w:bidi="ar-SA"/>
              </w:rPr>
              <w:t>Буферний розчин, що має бути придатним для розведення контрольного матеріалу, калібраторів та людських зразків при проведенні коагуляційних тестів на визначення ПЧ, фібриногену, Д-димеру, факторів.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8"/>
                <w:szCs w:val="18"/>
                <w:lang w:val="uk-UA" w:bidi="ar-SA"/>
              </w:rPr>
              <w:t xml:space="preserve">Відкриті флакони повинні бути стабільні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протягом не менш як 8 тижнів за температури 2-8°С.</w:t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12</w:t>
            </w:r>
          </w:p>
        </w:tc>
      </w:tr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7.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55996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Численні фактори згортання ІВД, набір, аналіз утворення згустку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Контрольна плазма Dia-Control I-ІІ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8"/>
                <w:szCs w:val="18"/>
                <w:lang w:val="uk-UA" w:bidi="ar-SA"/>
              </w:rPr>
              <w:t>(або еквівалент)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41" w:hanging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 xml:space="preserve">Фасування: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18"/>
                <w:szCs w:val="18"/>
                <w:lang w:val="uk-UA" w:bidi="ar-SA"/>
              </w:rPr>
              <w:t>рівень 1: 10х1 мл; рівень 2: 10х1 мл.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Контрольна плазма, що призначена для внутрішнього контролю якості системи вимірювання коагуляції, а саме для тестів на ПЧ, АЧТЧ, фібриноген, ТЧ та антитромбін ІІІ. Реагент повинен бути отриманий з антикоагульованої, пулованої плазми людини від здорових донорів зі стабілізатором та консервантом.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8"/>
                <w:szCs w:val="18"/>
                <w:lang w:val="uk-UA" w:bidi="ar-SA"/>
              </w:rPr>
              <w:t xml:space="preserve">Відкриті флакони повинні бути стабільні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протягом не менш як 4 години при температурі 20-25°С та не менш як 30 днів при температурі -20°С.</w:t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6</w:t>
            </w:r>
          </w:p>
        </w:tc>
      </w:tr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8.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55995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Численні фактори згортання ІВД, калібратор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Калібраційна плазма Dia-Cal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8"/>
                <w:szCs w:val="18"/>
                <w:lang w:val="uk-UA" w:bidi="ar-SA"/>
              </w:rPr>
              <w:t>(або еквівалент)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Фасування: 12х1 мл.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Калібраційна плазма для калібрування наступних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коагуляційних тестів: протромбіновий час, фібриноген,, антитромбін III. Закритий флакон калібратора повинен бути стабільний при зберіганні за температури 2-8°С до дати закінчення терміну придатності, вказаного на флаконі. Стабільність після відкриття флакону за температури 20-25°С - не менше 4-х годин та за температури -20°С - не менше 30 днів.</w:t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набір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6</w:t>
            </w:r>
          </w:p>
        </w:tc>
      </w:tr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9.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4"/>
                <w:lang w:val="uk-UA" w:eastAsia="en-US" w:bidi="ar-SA"/>
              </w:rPr>
              <w:t>63385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4"/>
                <w:lang w:val="uk-UA" w:eastAsia="en-US" w:bidi="ar-SA"/>
              </w:rPr>
              <w:t>Засіб для очищення медичного приладу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Клінер (засіб для чищення)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Засіб для чищення використовується для регулярного очищення блоку промивання, трубки для відведення відходів, мікродозатора та насосу для видалення відходів аналізатора коагуляції CoaLAB 1000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Склад: 5х15 мл Водний розчин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уп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1</w:t>
            </w:r>
          </w:p>
        </w:tc>
      </w:tr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10.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61032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 xml:space="preserve">Кювету для лабораторного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 xml:space="preserve">аналізатора ІВД, одноразового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використання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Кюветне коло V2 6x10x32 із змішувачами, CuvCARD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Кюветне коло V2, що складається з одноразових кювет – це овальна кювета, яка містить паралельно розміщені ємності для реакційних рідин, таких як плазма пацієнта та хімічних реагентів.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 xml:space="preserve">Кюветне коло складається із 32 одноразових кювет. Коло оснащене захисним фіксатором, що унеможливлює вставлення кюветного кола у вимірювальний ротор неправильним чином. Верхня частина кюветного кола разом з окремими кюветами є прозорими.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 xml:space="preserve">Матеріал: Полістерол, прозорий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Розміри: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 xml:space="preserve">Довжина окремої кювети: </w:t>
              <w:tab/>
              <w:t>20мм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 xml:space="preserve">Зовнішній діаметр (вверх): </w:t>
              <w:tab/>
              <w:t>7мм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 xml:space="preserve">Зовнішній діаметр (низ): </w:t>
              <w:tab/>
              <w:t>6мм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Призначення: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 xml:space="preserve">Одноразове кюветне коло використовується для проведення автоматизованого аналізу звертування рідини у малих об’ємах. Об’єм наповнення однієї кювети 150 мкл – 300 мкл. Дно кожної кювети містить змішувач із нержавіючої сталі 1x4 мм. Ці змішувачі необхідні для здійснення високо точних вимірів, які проводяться шляхом рівномірного розподілу плазми та реагенту.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шт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30</w:t>
            </w:r>
          </w:p>
        </w:tc>
      </w:tr>
      <w:tr>
        <w:trPr/>
        <w:tc>
          <w:tcPr>
            <w:tcW w:w="4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11.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58236 - Буферний промивання та розчин ІВД, автоматичні / напівавтоматичні системи</w:t>
            </w:r>
            <w:bookmarkStart w:id="0" w:name="_GoBack"/>
            <w:bookmarkEnd w:id="0"/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13180, 13015 Dia-WASH (13180, 13015 Діа-WASH)</w:t>
            </w:r>
          </w:p>
        </w:tc>
        <w:tc>
          <w:tcPr>
            <w:tcW w:w="4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Dia-WASH використовується для щоденного обслуговування і очищення аналізаторів гемостазу.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АКТИВНІ ІНГРЕДІЄНТИ: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Соляна кислота &lt;1,0%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Детергент &lt;1,0%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Склад набору: 12 фл по 15 мл.</w:t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уп</w:t>
            </w:r>
          </w:p>
        </w:tc>
        <w:tc>
          <w:tcPr>
            <w:tcW w:w="9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uk-UA" w:bidi="ar-SA"/>
              </w:rPr>
              <w:t>30</w:t>
            </w:r>
          </w:p>
        </w:tc>
      </w:tr>
    </w:tbl>
    <w:p>
      <w:pPr>
        <w:pStyle w:val="Normal"/>
        <w:ind w:firstLine="567"/>
        <w:jc w:val="both"/>
        <w:rPr/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40f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інтервалів Знак"/>
    <w:link w:val="NoSpacing"/>
    <w:uiPriority w:val="99"/>
    <w:qFormat/>
    <w:locked/>
    <w:rsid w:val="003637ee"/>
    <w:rPr>
      <w:rFonts w:ascii="Times New Roman" w:hAnsi="Times New Roman" w:eastAsia="SimSun" w:cs="Times New Roman"/>
      <w:kern w:val="2"/>
      <w:sz w:val="20"/>
      <w:szCs w:val="20"/>
      <w:lang w:val="ru-RU" w:eastAsia="ar-SA"/>
    </w:rPr>
  </w:style>
  <w:style w:type="character" w:styleId="Style15" w:customStyle="1">
    <w:name w:val="Абзац списку Знак"/>
    <w:link w:val="ListParagraph"/>
    <w:uiPriority w:val="34"/>
    <w:qFormat/>
    <w:locked/>
    <w:rsid w:val="003637ee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Цитата1"/>
    <w:basedOn w:val="Normal"/>
    <w:uiPriority w:val="99"/>
    <w:qFormat/>
    <w:rsid w:val="003637ee"/>
    <w:pPr>
      <w:suppressAutoHyphens w:val="true"/>
      <w:overflowPunct w:val="true"/>
      <w:ind w:left="-567" w:right="43" w:hanging="0"/>
      <w:jc w:val="both"/>
      <w:textAlignment w:val="baseline"/>
    </w:pPr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paragraph" w:styleId="NoSpacing">
    <w:name w:val="No Spacing"/>
    <w:link w:val="Style14"/>
    <w:uiPriority w:val="99"/>
    <w:qFormat/>
    <w:rsid w:val="003637e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2"/>
      <w:sz w:val="20"/>
      <w:szCs w:val="20"/>
      <w:lang w:val="ru-RU" w:eastAsia="ar-SA" w:bidi="ar-SA"/>
    </w:rPr>
  </w:style>
  <w:style w:type="paragraph" w:styleId="ListParagraph">
    <w:name w:val="List Paragraph"/>
    <w:basedOn w:val="Normal"/>
    <w:link w:val="Style15"/>
    <w:uiPriority w:val="34"/>
    <w:qFormat/>
    <w:rsid w:val="003637ee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11" w:customStyle="1">
    <w:name w:val="Обычный1"/>
    <w:qFormat/>
    <w:rsid w:val="003637e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uk-UA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c40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LibreOffice/7.3.4.2$Windows_x86 LibreOffice_project/728fec16bd5f605073805c3c9e7c4212a0120dc5</Application>
  <AppVersion>15.0000</AppVersion>
  <Pages>3</Pages>
  <Words>1101</Words>
  <Characters>6986</Characters>
  <CharactersWithSpaces>7952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2022-08-08T08:19:00Z</dcterms:created>
  <dc:creator>Адріана Джус</dc:creator>
  <dc:description/>
  <dc:language>en-US</dc:language>
  <cp:lastModifiedBy/>
  <dcterms:modified xsi:type="dcterms:W3CDTF">2023-05-05T10:41:24Z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