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5" w:type="dxa"/>
        <w:jc w:val="right"/>
        <w:tblLook w:val="04A0" w:firstRow="1" w:lastRow="0" w:firstColumn="1" w:lastColumn="0" w:noHBand="0" w:noVBand="1"/>
      </w:tblPr>
      <w:tblGrid>
        <w:gridCol w:w="4474"/>
        <w:gridCol w:w="221"/>
      </w:tblGrid>
      <w:tr w:rsidR="004475B5">
        <w:trPr>
          <w:trHeight w:val="120"/>
          <w:jc w:val="right"/>
        </w:trPr>
        <w:tc>
          <w:tcPr>
            <w:tcW w:w="4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475B5">
            <w:pPr>
              <w:spacing w:before="240" w:after="0" w:line="240" w:lineRule="auto"/>
              <w:ind w:left="-14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before="240" w:after="0" w:line="240" w:lineRule="auto"/>
              <w:ind w:left="-1420" w:right="-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4475B5" w:rsidRDefault="00466DD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Територіальний центр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соціального захисту населення (надання соціальних послуг) Солом’янського району міста  Києва.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ДК 021:2015- 09310000-5 «Електрична енергія»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3.Інформація про технічні, якісні та інші характеристики предмета закупівлі: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Згідно Додатку 1 та Додатк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у 2.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4.Кількість та місце поставки товарів або обсяг і місце виконання робіт чи надання послуг: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м. </w:t>
      </w:r>
      <w:r w:rsidR="00E55B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Київ, </w:t>
      </w:r>
      <w:proofErr w:type="spellStart"/>
      <w:r w:rsidR="00E55B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бул</w:t>
      </w:r>
      <w:proofErr w:type="spellEnd"/>
      <w:r w:rsidR="00E55B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</w:t>
      </w:r>
      <w:proofErr w:type="spellStart"/>
      <w:r w:rsidR="00E55B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В.Гавела</w:t>
      </w:r>
      <w:proofErr w:type="spellEnd"/>
      <w:r w:rsidR="00E55B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 83-А - 4000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кВт., Київ, 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5.Строк поставки товарів, виконання робіт, надання послуг: </w:t>
      </w:r>
      <w:r w:rsidR="00A270D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вересень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2022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рік.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6.Умови оплати: 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342" w:type="dxa"/>
        <w:tblInd w:w="-10" w:type="dxa"/>
        <w:tblLook w:val="04A0" w:firstRow="1" w:lastRow="0" w:firstColumn="1" w:lastColumn="0" w:noHBand="0" w:noVBand="1"/>
      </w:tblPr>
      <w:tblGrid>
        <w:gridCol w:w="4278"/>
        <w:gridCol w:w="1353"/>
        <w:gridCol w:w="1026"/>
        <w:gridCol w:w="1248"/>
        <w:gridCol w:w="1437"/>
      </w:tblGrid>
      <w:tr w:rsidR="004475B5">
        <w:trPr>
          <w:trHeight w:val="760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Подія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Тип оплати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Період,</w:t>
            </w:r>
          </w:p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(днів)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Тип днів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Розмір</w:t>
            </w:r>
          </w:p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оплати,</w:t>
            </w:r>
          </w:p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(%)</w:t>
            </w:r>
          </w:p>
        </w:tc>
      </w:tr>
      <w:tr w:rsidR="004475B5"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передача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поставленої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прийнятої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Споживачем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місяці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оформлюється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ідписання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уповноваженими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Сторін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щомісячних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приймання-передачі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Акт)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комерційного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Споживача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Розрахунки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Споживача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здійснюються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фактично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спожитий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4475B5" w:rsidRDefault="004475B5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банківські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B5" w:rsidRDefault="00466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4475B5" w:rsidRDefault="00466DD5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Очікувана вартість предмета закупівлі: </w:t>
      </w:r>
      <w:r w:rsidR="00E55B2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20300,00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грн. ( </w:t>
      </w:r>
      <w:r w:rsidR="00E55B2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двадцять тисяч триста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грн. 00 коп.)</w:t>
      </w:r>
    </w:p>
    <w:p w:rsidR="004475B5" w:rsidRDefault="00466DD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8. Період уточнення інформації про закупівлю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(не менше трьох робочих днів):по 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2</w:t>
      </w:r>
      <w:r w:rsidRPr="00466DD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.0</w:t>
      </w:r>
      <w:r w:rsidRPr="00466DD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.2022р.</w:t>
      </w:r>
    </w:p>
    <w:p w:rsidR="004475B5" w:rsidRDefault="00466DD5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9.Кінцевий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): 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3</w:t>
      </w:r>
      <w:r w:rsidRPr="00466DD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.0</w:t>
      </w:r>
      <w:r w:rsidRPr="00466DD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>.2022 р.</w:t>
      </w:r>
    </w:p>
    <w:p w:rsidR="004475B5" w:rsidRDefault="00466DD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10.Перелік критеріїв та методика 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цінки пропозицій із зазначенням питомої ваги критеріїв: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>„Ціна – 100%”.</w:t>
      </w:r>
    </w:p>
    <w:p w:rsidR="004475B5" w:rsidRDefault="00466DD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11.Розмір та умови надання забезпечення пропозицій учасників (якщо замовник вимагає його надати):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вимагається </w:t>
      </w:r>
    </w:p>
    <w:p w:rsidR="004475B5" w:rsidRDefault="00466DD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12.Розмір та умови надання забезпечення виконання договору про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закупівлю (якщо замовник вимагає його надати):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вимагається </w:t>
      </w:r>
    </w:p>
    <w:p w:rsidR="004475B5" w:rsidRDefault="00466DD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13.Розмір мінімального кроку пониження ціни під час електронного аукціону 1 відсоток </w:t>
      </w:r>
      <w:r w:rsidR="00E55B2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очікуваної вартості закупівлі: 203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,00 грн.</w:t>
      </w:r>
    </w:p>
    <w:p w:rsidR="004475B5" w:rsidRDefault="004475B5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4475B5" w:rsidRDefault="00466DD5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</w:p>
    <w:p w:rsidR="004475B5" w:rsidRDefault="00466DD5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Оголошення розроблено відповідно до вимог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4475B5" w:rsidRDefault="00466DD5">
      <w:pPr>
        <w:spacing w:before="20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метою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подання пропозицій та їх оцінки документи та дані створюються та подаються з урахуванням вимог законів України </w:t>
      </w:r>
      <w:hyperlink r:id="rId6" w:history="1">
        <w:r>
          <w:rPr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</w:t>
      </w:r>
      <w:hyperlink r:id="rId7" w:history="1">
        <w:r>
          <w:rPr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 Всі документи пропозиції подаються в електронному вигляді через електронну систему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Документи мають бути належного рівня зображення (чіткими та розбірливими для читання). Учасник повинен накласти електронний цифровий підпис (ЕЦП) або кваліфікований електронний підпис (КЕП) на кожен електронний документ пропозиції окремо. </w:t>
      </w:r>
    </w:p>
    <w:p w:rsidR="004475B5" w:rsidRDefault="00466DD5">
      <w:pPr>
        <w:keepNext/>
        <w:keepLines/>
        <w:spacing w:after="0" w:line="240" w:lineRule="auto"/>
        <w:ind w:left="40" w:firstLine="66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Замовни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 перевіряє КЕП/ЕЦП учасника на сайті центрального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засвідчувального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органу за посиланням </w:t>
      </w:r>
      <w:hyperlink r:id="rId8" w:history="1">
        <w:r>
          <w:rPr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>https://czo.gov.ua/verify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4475B5" w:rsidRDefault="00466DD5">
      <w:pPr>
        <w:keepNext/>
        <w:keepLines/>
        <w:spacing w:after="0" w:line="240" w:lineRule="auto"/>
        <w:ind w:left="40" w:firstLine="66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 час перевірки КЕП/ЕЦП повинні відображатися прізвище та ініціали особи, уповноваженої на підпи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:rsidR="004475B5" w:rsidRDefault="00466DD5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Кожен учасник має право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:rsidR="004475B5" w:rsidRDefault="004475B5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475B5" w:rsidRDefault="00466DD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1) пропозиція учасника не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відповідає умовам, визначеним в оголошенні про проведення спрощеної закупівлі, та вимогам до предмета закупівлі;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упівлі, відмовився від укладення договору про закупівлю;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 учасника) більше двох разів із замовником, який проводить таку спрощену закупівлю.</w:t>
      </w:r>
    </w:p>
    <w:p w:rsidR="004475B5" w:rsidRDefault="0044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2) неможливості усунення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порушень, що виникли через виявлені порушення законодавства з питань публічних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у разі: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хилення всіх пропозицій згідно з частиною 13 статті 14 Закону;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електронною системою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астиною тринадцятою цієї статті або відсутності пропозицій учасників для участі у ній.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день його оприлюднення.</w:t>
      </w:r>
    </w:p>
    <w:p w:rsidR="004475B5" w:rsidRDefault="0044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Договір про закупівлю укладається згідно з вимогами статті 41 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акону. </w:t>
      </w:r>
    </w:p>
    <w:p w:rsidR="004475B5" w:rsidRDefault="004475B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4475B5" w:rsidRDefault="004475B5">
      <w:pPr>
        <w:spacing w:after="0" w:line="240" w:lineRule="auto"/>
        <w:ind w:right="120"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475B5" w:rsidRDefault="00466DD5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:rsidR="004475B5" w:rsidRDefault="00466D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color w:val="000000"/>
          <w:sz w:val="24"/>
          <w:lang w:val="uk-UA" w:eastAsia="ru-RU"/>
        </w:rPr>
        <w:t xml:space="preserve">Додаток № 1 – </w:t>
      </w:r>
      <w:r>
        <w:rPr>
          <w:rFonts w:ascii="Times New Roman" w:hAnsi="Times New Roman"/>
          <w:sz w:val="24"/>
          <w:szCs w:val="24"/>
          <w:lang w:val="uk-UA"/>
        </w:rPr>
        <w:t>Інша інформація;</w:t>
      </w:r>
    </w:p>
    <w:p w:rsidR="004475B5" w:rsidRDefault="00466D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 2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4475B5" w:rsidRDefault="00466D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 3 – Проект договору </w:t>
      </w:r>
    </w:p>
    <w:p w:rsidR="004475B5" w:rsidRDefault="00466DD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 4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Цінова пропозиція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br w:type="page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1</w:t>
      </w:r>
    </w:p>
    <w:p w:rsidR="004475B5" w:rsidRDefault="00466DD5">
      <w:pPr>
        <w:spacing w:after="0" w:line="240" w:lineRule="auto"/>
        <w:ind w:left="28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ІНША ІНФОРМАЦІЯ</w:t>
      </w: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50"/>
        <w:gridCol w:w="9279"/>
      </w:tblGrid>
      <w:tr w:rsidR="004475B5">
        <w:trPr>
          <w:trHeight w:val="24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475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4475B5" w:rsidRPr="00A270D8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Довідка про присвоєння ідентифікаційного коду/Картка про присвоєння ідентифікаційного коду, у разі відсутності з релігійних переконань, копію сторінки паспорта з відповідною відміткою  або лист-пояснення із зазначенням законодавчих підстав ненадання докуме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нту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-для фізичних осіб, фізичних осіб- підприємців)</w:t>
            </w:r>
          </w:p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4475B5" w:rsidRDefault="00466DD5">
            <w:pPr>
              <w:spacing w:after="0" w:line="240" w:lineRule="auto"/>
              <w:ind w:left="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паспорту (1-6 сторінки та місце проживання) у випадку, якщо такий паспорт оформлено у вигляді книжечки, завірений належним чином, або копією обох сторін паспорту, якщо такий паспорт оформлено у формі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картки, що містить безконтактний електронний носій, або копією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тус» від 20.11.2012 №5492-VI (із змінами)-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для фізичних осіб,  фізичних осіб- підприємців.</w:t>
            </w:r>
          </w:p>
        </w:tc>
      </w:tr>
      <w:tr w:rsidR="004475B5" w:rsidRPr="00A270D8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шою особою, учасник надає довіреність або доручення на таку особу.</w:t>
            </w:r>
          </w:p>
        </w:tc>
      </w:tr>
      <w:tr w:rsidR="004475B5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“Даним листом підтверджуємо, що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Учасник спрощеної закупівлі – назва учасника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  не перебуває під дією спеціальних економічних та інших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ешкоджають укладенню та/або виконанню договору про закупівлю”. </w:t>
            </w:r>
          </w:p>
        </w:tc>
      </w:tr>
      <w:tr w:rsidR="004475B5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Лист-погодження Учасника з умовами проекту Договору, що міститься в Додатку 2 до Оголошення</w:t>
            </w:r>
          </w:p>
        </w:tc>
      </w:tr>
      <w:tr w:rsidR="004475B5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Повне найменування;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дреса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./факс;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;</w:t>
            </w:r>
          </w:p>
          <w:p w:rsidR="004475B5" w:rsidRDefault="00466D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Посада керівника підприємством та П.І.Б.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(для ФОП зазначається П.І.Б).</w:t>
            </w:r>
          </w:p>
          <w:p w:rsidR="004475B5" w:rsidRDefault="004475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475B5" w:rsidRPr="00A270D8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Документ, що посвідчує видання ліцензії з постачання електричної енергії споживачу (зокрема постанова або наказ про її видання), або надання відповідної інформації з посиланням на сайт органу ліцензування. </w:t>
            </w:r>
          </w:p>
        </w:tc>
      </w:tr>
      <w:tr w:rsidR="004475B5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pStyle w:val="a3"/>
              <w:jc w:val="both"/>
            </w:pP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gramStart"/>
            <w:r>
              <w:t xml:space="preserve">у </w:t>
            </w:r>
            <w:proofErr w:type="spellStart"/>
            <w:r>
              <w:t>до</w:t>
            </w:r>
            <w:r>
              <w:t>в</w:t>
            </w:r>
            <w:proofErr w:type="gramEnd"/>
            <w:r>
              <w:t>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про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і </w:t>
            </w:r>
            <w:proofErr w:type="spellStart"/>
            <w:r>
              <w:t>зборів</w:t>
            </w:r>
            <w:proofErr w:type="spellEnd"/>
            <w:r>
              <w:t xml:space="preserve"> (</w:t>
            </w:r>
            <w:proofErr w:type="spellStart"/>
            <w:r>
              <w:t>обов’язковим</w:t>
            </w:r>
            <w:proofErr w:type="spellEnd"/>
            <w:r>
              <w:t xml:space="preserve"> платежам). </w:t>
            </w:r>
          </w:p>
        </w:tc>
      </w:tr>
      <w:tr w:rsidR="004475B5" w:rsidRPr="00A270D8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Довідка у довільній формі про те, що відомості про юридичну особу, яка є Учасником, не </w:t>
            </w:r>
            <w:proofErr w:type="spellStart"/>
            <w:r>
              <w:rPr>
                <w:lang w:val="uk-UA"/>
              </w:rPr>
              <w:t>внесено</w:t>
            </w:r>
            <w:proofErr w:type="spellEnd"/>
            <w:r>
              <w:rPr>
                <w:lang w:val="uk-UA"/>
              </w:rPr>
              <w:t xml:space="preserve"> до Єдиного державного реєстру осіб, які вчинили корупційні </w:t>
            </w:r>
            <w:r>
              <w:rPr>
                <w:lang w:val="uk-UA"/>
              </w:rPr>
              <w:t>або пов’язані з корупцією правопорушення.</w:t>
            </w:r>
          </w:p>
        </w:tc>
      </w:tr>
      <w:tr w:rsidR="004475B5" w:rsidRPr="00A270D8">
        <w:trPr>
          <w:trHeight w:val="2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5B5" w:rsidRDefault="00466DD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довідки про створення Учасником на території м. Києва власного структурного підрозділу - Центру обслуговування споживачів (клієнтів) Відповідно до </w:t>
            </w:r>
            <w:r>
              <w:rPr>
                <w:lang w:val="uk-UA"/>
              </w:rPr>
              <w:lastRenderedPageBreak/>
              <w:t xml:space="preserve">п. 8.3.17. Постанови НКРЕКП від 14.03.2018 № 312 </w:t>
            </w:r>
            <w:r>
              <w:rPr>
                <w:lang w:val="uk-UA"/>
              </w:rPr>
              <w:t>«Учасники роздрібного ринку, які обслуговують 50000 споживачів та більше, повинні створити центри обслуговування споживачів, які, у тому числі, приймають звернення/скарги/претензії споживачів, надають роз’яснення та інформацію, передбачену законодавством.»</w:t>
            </w:r>
          </w:p>
        </w:tc>
      </w:tr>
    </w:tbl>
    <w:p w:rsidR="004475B5" w:rsidRDefault="00466DD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 </w:t>
      </w: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lastRenderedPageBreak/>
        <w:br/>
        <w:t>Додаток 2</w:t>
      </w:r>
    </w:p>
    <w:p w:rsidR="004475B5" w:rsidRDefault="00466DD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4475B5" w:rsidRDefault="004475B5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РОЗДІЛ І:</w:t>
      </w:r>
    </w:p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9345" w:type="dxa"/>
        <w:tblInd w:w="9" w:type="dxa"/>
        <w:tblLook w:val="04A0" w:firstRow="1" w:lastRow="0" w:firstColumn="1" w:lastColumn="0" w:noHBand="0" w:noVBand="1"/>
      </w:tblPr>
      <w:tblGrid>
        <w:gridCol w:w="541"/>
        <w:gridCol w:w="2984"/>
        <w:gridCol w:w="2100"/>
        <w:gridCol w:w="1275"/>
        <w:gridCol w:w="1139"/>
        <w:gridCol w:w="1306"/>
      </w:tblGrid>
      <w:tr w:rsidR="004475B5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solid" w:color="D9E2F3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solid" w:color="D9E2F3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/>
              </w:rPr>
              <w:t>товару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E2F3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E2F3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E2F3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E2F3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Напруга, кВ</w:t>
            </w:r>
          </w:p>
        </w:tc>
      </w:tr>
      <w:tr w:rsidR="004475B5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solid" w:color="FFFFFF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475B5" w:rsidRDefault="00466DD5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solid" w:color="FFFFFF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475B5" w:rsidRDefault="00466DD5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475B5" w:rsidRDefault="00E55B2F" w:rsidP="00E55B2F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30.09</w:t>
            </w:r>
            <w:r w:rsidR="00466DD5">
              <w:rPr>
                <w:rFonts w:ascii="Times New Roman" w:hAnsi="Times New Roman" w:cs="Times New Roman"/>
                <w:lang w:val="uk-UA"/>
              </w:rPr>
              <w:t>.2022р.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E55B2F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66DD5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75B5" w:rsidRDefault="004475B5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Споживач здійснює плату за послугу з розподілу та передачі електричної енергії через Постачальника.</w:t>
      </w:r>
    </w:p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Особливі вимоги до предмету </w:t>
      </w:r>
      <w:r>
        <w:rPr>
          <w:rFonts w:ascii="Times New Roman" w:hAnsi="Times New Roman" w:cs="Times New Roman"/>
          <w:b/>
          <w:lang w:val="uk-UA"/>
        </w:rPr>
        <w:t>закупівлі:</w:t>
      </w:r>
    </w:p>
    <w:p w:rsidR="004475B5" w:rsidRDefault="00466DD5">
      <w:pPr>
        <w:pStyle w:val="Standard"/>
        <w:tabs>
          <w:tab w:val="left" w:pos="735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Пропозиції можуть бути подані тільки стосовно повного обсягу предмета закупівлі. </w:t>
      </w:r>
    </w:p>
    <w:p w:rsidR="004475B5" w:rsidRDefault="00466DD5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</w:t>
      </w:r>
      <w:r>
        <w:rPr>
          <w:rFonts w:ascii="Times New Roman" w:hAnsi="Times New Roman" w:cs="Times New Roman"/>
          <w:lang w:val="uk-UA"/>
        </w:rPr>
        <w:t>електричної енергії споживачам виконуються з урахуванням положень наступних законодавчих актів:</w:t>
      </w:r>
    </w:p>
    <w:p w:rsidR="004475B5" w:rsidRDefault="00466DD5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</w:t>
      </w:r>
      <w:r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:rsidR="004475B5" w:rsidRDefault="00466DD5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</w:t>
      </w:r>
      <w:r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</w:t>
      </w:r>
      <w:r>
        <w:rPr>
          <w:rFonts w:ascii="Times New Roman" w:hAnsi="Times New Roman" w:cs="Times New Roman"/>
          <w:lang w:val="uk-UA"/>
        </w:rPr>
        <w:t>льної комісії регулювання електроенергетики та комунальних послуг України від 14.03.2018 № 312</w:t>
      </w:r>
    </w:p>
    <w:p w:rsidR="004475B5" w:rsidRDefault="00466DD5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</w:t>
      </w:r>
      <w:r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4475B5" w:rsidRDefault="00466DD5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</w:t>
      </w:r>
      <w:r>
        <w:rPr>
          <w:rFonts w:ascii="Times New Roman" w:hAnsi="Times New Roman" w:cs="Times New Roman"/>
          <w:lang w:val="uk-UA"/>
        </w:rPr>
        <w:tab/>
        <w:t>Ко</w:t>
      </w:r>
      <w:r>
        <w:rPr>
          <w:rFonts w:ascii="Times New Roman" w:hAnsi="Times New Roman" w:cs="Times New Roman"/>
          <w:lang w:val="uk-UA"/>
        </w:rPr>
        <w:t>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4475B5" w:rsidRDefault="00466DD5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2.</w:t>
      </w:r>
      <w:r>
        <w:rPr>
          <w:rFonts w:ascii="Times New Roman" w:hAnsi="Times New Roman" w:cs="Times New Roman"/>
          <w:b/>
          <w:lang w:val="uk-UA"/>
        </w:rPr>
        <w:t xml:space="preserve"> Строк поставки Товару:</w:t>
      </w:r>
      <w:r w:rsidR="00E55B2F">
        <w:rPr>
          <w:rFonts w:ascii="Times New Roman" w:hAnsi="Times New Roman" w:cs="Times New Roman"/>
          <w:lang w:val="uk-UA"/>
        </w:rPr>
        <w:t xml:space="preserve"> до 30.09</w:t>
      </w:r>
      <w:r>
        <w:rPr>
          <w:rFonts w:ascii="Times New Roman" w:hAnsi="Times New Roman" w:cs="Times New Roman"/>
          <w:lang w:val="uk-UA"/>
        </w:rPr>
        <w:t>.2022 року.</w:t>
      </w:r>
    </w:p>
    <w:p w:rsidR="004475B5" w:rsidRDefault="004475B5">
      <w:pPr>
        <w:pStyle w:val="Standard"/>
        <w:jc w:val="both"/>
        <w:rPr>
          <w:rFonts w:ascii="Times New Roman" w:hAnsi="Times New Roman" w:cs="Times New Roman"/>
          <w:i/>
          <w:lang w:val="uk-UA"/>
        </w:rPr>
      </w:pPr>
    </w:p>
    <w:p w:rsidR="004475B5" w:rsidRDefault="00466DD5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РОЗДІЛ ІІ</w:t>
      </w:r>
    </w:p>
    <w:p w:rsidR="004475B5" w:rsidRDefault="004475B5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475B5" w:rsidRDefault="00466DD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1. Мета використання Товару:</w:t>
      </w:r>
      <w:r>
        <w:rPr>
          <w:rFonts w:ascii="Times New Roman" w:hAnsi="Times New Roman" w:cs="Times New Roman"/>
          <w:lang w:val="uk-UA"/>
        </w:rPr>
        <w:t xml:space="preserve"> для електрозабезпечення об’єктів Споживача (власні потреби).</w:t>
      </w:r>
    </w:p>
    <w:p w:rsidR="004475B5" w:rsidRDefault="00466DD5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 Місце поставки Товару: </w:t>
      </w:r>
      <w:r>
        <w:rPr>
          <w:rFonts w:ascii="Times New Roman" w:hAnsi="Times New Roman" w:cs="Times New Roman"/>
          <w:lang w:val="uk-UA"/>
        </w:rPr>
        <w:t>пункти підключення електрозабезпечення об’єкти Замовника</w:t>
      </w:r>
    </w:p>
    <w:p w:rsidR="004475B5" w:rsidRPr="00466DD5" w:rsidRDefault="00466DD5">
      <w:pPr>
        <w:pStyle w:val="a3"/>
        <w:widowControl w:val="0"/>
        <w:jc w:val="both"/>
        <w:rPr>
          <w:lang w:val="en-US"/>
        </w:rPr>
      </w:pPr>
      <w:r w:rsidRPr="00A270D8">
        <w:rPr>
          <w:rFonts w:eastAsia="Andale Sans UI"/>
          <w:b/>
          <w:lang w:val="uk-UA" w:eastAsia="uk-UA"/>
        </w:rPr>
        <w:t xml:space="preserve">Об’єкти: </w:t>
      </w:r>
      <w:r w:rsidRPr="00A270D8">
        <w:rPr>
          <w:rFonts w:eastAsia="Andale Sans UI"/>
          <w:b/>
          <w:lang w:val="uk-UA" w:eastAsia="uk-UA"/>
        </w:rPr>
        <w:t xml:space="preserve"> </w:t>
      </w:r>
      <w:r>
        <w:rPr>
          <w:lang w:val="uk-UA"/>
        </w:rPr>
        <w:t>м. Київ</w:t>
      </w:r>
      <w:r w:rsidRPr="00A270D8">
        <w:rPr>
          <w:rFonts w:eastAsia="Andale Sans UI"/>
          <w:b/>
          <w:lang w:val="uk-UA" w:eastAsia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В.Г</w:t>
      </w:r>
      <w:r>
        <w:rPr>
          <w:lang w:val="uk-UA"/>
        </w:rPr>
        <w:t>авела</w:t>
      </w:r>
      <w:proofErr w:type="spellEnd"/>
      <w:r>
        <w:rPr>
          <w:lang w:val="uk-UA"/>
        </w:rPr>
        <w:t>, 83-А.</w:t>
      </w:r>
    </w:p>
    <w:p w:rsidR="004475B5" w:rsidRDefault="00466DD5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3. Технічні, якісні характеристики предмету закупівлі мають передбачати застосування заходів із захисту довкілля.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:rsidR="004475B5" w:rsidRDefault="00466DD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475B5" w:rsidRDefault="004475B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475B5" w:rsidRDefault="00466D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Проект Договору</w:t>
      </w:r>
    </w:p>
    <w:p w:rsidR="004475B5" w:rsidRDefault="004475B5">
      <w:pPr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ДОГОВІР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№ ______________</w:t>
      </w:r>
    </w:p>
    <w:p w:rsidR="004475B5" w:rsidRDefault="00466DD5">
      <w:pPr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постачання (закупівлю) електричної енергії </w:t>
      </w:r>
    </w:p>
    <w:p w:rsidR="004475B5" w:rsidRDefault="004475B5">
      <w:pPr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«___»____________20___ р.</w:t>
      </w:r>
    </w:p>
    <w:p w:rsidR="004475B5" w:rsidRDefault="004475B5">
      <w:pPr>
        <w:spacing w:after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  <w:lang w:val="uk-UA"/>
        </w:rPr>
      </w:pPr>
    </w:p>
    <w:p w:rsidR="004475B5" w:rsidRDefault="00466DD5">
      <w:pPr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яке діє на підставі ліцензії з постачання електричної енергії споживачу виданої згідно постанови </w:t>
      </w:r>
      <w:r>
        <w:rPr>
          <w:rFonts w:ascii="Times New Roman" w:hAnsi="Times New Roman"/>
          <w:sz w:val="24"/>
          <w:szCs w:val="24"/>
          <w:lang w:val="uk-UA" w:eastAsia="ru-RU"/>
        </w:rPr>
        <w:t>Національної комісії, що здійснює державне регулювання у сферах енергетики та комунальних послуг від ________року №______</w:t>
      </w:r>
      <w:r>
        <w:rPr>
          <w:rFonts w:ascii="Times New Roman" w:hAnsi="Times New Roman"/>
          <w:sz w:val="24"/>
          <w:szCs w:val="24"/>
          <w:lang w:val="uk-UA"/>
        </w:rPr>
        <w:t xml:space="preserve"> (надалі - </w:t>
      </w: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), в особі_________________________________________________________</w:t>
      </w:r>
    </w:p>
    <w:p w:rsidR="004475B5" w:rsidRDefault="00466DD5">
      <w:pPr>
        <w:pStyle w:val="a7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__________________________________, що діє на підставі довіреності від ______________ № _______________ з одного боку, та _______________________________________________________________________________</w:t>
      </w:r>
    </w:p>
    <w:p w:rsidR="004475B5" w:rsidRDefault="00466DD5">
      <w:pPr>
        <w:pStyle w:val="a7"/>
        <w:tabs>
          <w:tab w:val="left" w:pos="567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  <w:r>
        <w:rPr>
          <w:sz w:val="16"/>
        </w:rPr>
        <w:t>(найменування, організаційно-правова форма Замовника)</w:t>
      </w:r>
    </w:p>
    <w:p w:rsidR="004475B5" w:rsidRDefault="00466DD5">
      <w:pPr>
        <w:pStyle w:val="a7"/>
        <w:tabs>
          <w:tab w:val="left" w:pos="567"/>
        </w:tabs>
        <w:ind w:firstLine="0"/>
        <w:rPr>
          <w:sz w:val="22"/>
          <w:szCs w:val="22"/>
        </w:rPr>
      </w:pPr>
      <w:r>
        <w:rPr>
          <w:sz w:val="24"/>
          <w:szCs w:val="24"/>
        </w:rPr>
        <w:t>що здійснює діяльність на підставі</w:t>
      </w:r>
      <w:r>
        <w:rPr>
          <w:sz w:val="22"/>
          <w:szCs w:val="22"/>
        </w:rPr>
        <w:t xml:space="preserve">   ____________________________________________________</w:t>
      </w:r>
    </w:p>
    <w:p w:rsidR="004475B5" w:rsidRDefault="00466DD5">
      <w:pPr>
        <w:pStyle w:val="a7"/>
        <w:tabs>
          <w:tab w:val="left" w:pos="567"/>
          <w:tab w:val="right" w:pos="992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16"/>
          <w:szCs w:val="22"/>
        </w:rPr>
        <w:t>(довіреніс</w:t>
      </w:r>
      <w:r>
        <w:rPr>
          <w:sz w:val="16"/>
          <w:szCs w:val="22"/>
        </w:rPr>
        <w:t>ть або  установчі документи Замовника)</w:t>
      </w:r>
      <w:r>
        <w:rPr>
          <w:sz w:val="16"/>
          <w:szCs w:val="22"/>
        </w:rPr>
        <w:tab/>
      </w:r>
    </w:p>
    <w:p w:rsidR="004475B5" w:rsidRDefault="00466DD5">
      <w:pPr>
        <w:tabs>
          <w:tab w:val="left" w:pos="720"/>
        </w:tabs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(надалі –  </w:t>
      </w:r>
      <w:r>
        <w:rPr>
          <w:rFonts w:ascii="Times New Roman" w:hAnsi="Times New Roman"/>
          <w:b/>
          <w:sz w:val="24"/>
          <w:szCs w:val="24"/>
          <w:lang w:val="uk-UA"/>
        </w:rPr>
        <w:t>Споживач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в особі______________________________________________________             ______________________________________________________________________________,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>
        <w:rPr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посада, прізвище,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ім'я та по батькові)</w:t>
      </w:r>
    </w:p>
    <w:p w:rsidR="004475B5" w:rsidRDefault="00466DD5">
      <w:pPr>
        <w:pStyle w:val="a7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що діє на підставі ______________________________________________________________,</w:t>
      </w:r>
    </w:p>
    <w:p w:rsidR="004475B5" w:rsidRDefault="00466DD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(довіреність або  установчі документи Замовника)</w:t>
      </w:r>
    </w:p>
    <w:p w:rsidR="004475B5" w:rsidRDefault="00466DD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другого боку, (надалі – разом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Сторони, </w:t>
      </w:r>
      <w:r>
        <w:rPr>
          <w:rFonts w:ascii="Times New Roman" w:hAnsi="Times New Roman"/>
          <w:sz w:val="24"/>
          <w:szCs w:val="24"/>
          <w:lang w:val="uk-UA"/>
        </w:rPr>
        <w:t>а кожна окремо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Сторона</w:t>
      </w:r>
      <w:r>
        <w:rPr>
          <w:rFonts w:ascii="Times New Roman" w:hAnsi="Times New Roman"/>
          <w:sz w:val="24"/>
          <w:szCs w:val="24"/>
          <w:lang w:val="uk-UA"/>
        </w:rPr>
        <w:t>), керуючись вимогами Цивільного кодекс</w:t>
      </w:r>
      <w:r>
        <w:rPr>
          <w:rFonts w:ascii="Times New Roman" w:hAnsi="Times New Roman"/>
          <w:sz w:val="24"/>
          <w:szCs w:val="24"/>
          <w:lang w:val="uk-UA"/>
        </w:rPr>
        <w:t>у України, Господарського кодексу України,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>Закону України «Про ринок електричної енергії»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color w:val="000000"/>
          <w:sz w:val="24"/>
          <w:lang w:val="uk-UA"/>
        </w:rPr>
        <w:t xml:space="preserve"> Правил роздрібного ринку електричної енергії, затверджених постановою Національної комісії, що здійснює державне регулювання у </w:t>
      </w:r>
      <w:r>
        <w:rPr>
          <w:rFonts w:ascii="Times New Roman" w:hAnsi="Times New Roman"/>
          <w:sz w:val="24"/>
          <w:lang w:val="uk-UA"/>
        </w:rPr>
        <w:t xml:space="preserve">сферах енергетики та комунальних </w:t>
      </w:r>
      <w:r>
        <w:rPr>
          <w:rFonts w:ascii="Times New Roman" w:hAnsi="Times New Roman"/>
          <w:sz w:val="24"/>
          <w:lang w:val="uk-UA"/>
        </w:rPr>
        <w:t>послуг від 14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березня </w:t>
      </w:r>
      <w:r>
        <w:rPr>
          <w:rFonts w:ascii="Times New Roman" w:hAnsi="Times New Roman"/>
          <w:sz w:val="24"/>
          <w:lang w:val="uk-UA"/>
        </w:rPr>
        <w:t xml:space="preserve">2018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року </w:t>
      </w:r>
      <w:r>
        <w:rPr>
          <w:rFonts w:ascii="Times New Roman" w:hAnsi="Times New Roman"/>
          <w:sz w:val="24"/>
          <w:lang w:val="uk-UA"/>
        </w:rPr>
        <w:t xml:space="preserve">№ 312 (далі - ПРРЕЕ), </w:t>
      </w:r>
      <w:r>
        <w:rPr>
          <w:rFonts w:ascii="Times New Roman" w:hAnsi="Times New Roman"/>
          <w:sz w:val="24"/>
          <w:szCs w:val="24"/>
          <w:lang w:val="uk-UA"/>
        </w:rPr>
        <w:t>а також Закону України «Про публічні закупівлі», уклали цей договір про постачання (закупівлю) електричної енергії (далі – Договір) про наступне:</w:t>
      </w:r>
      <w:r>
        <w:rPr>
          <w:rFonts w:ascii="Times New Roman" w:hAnsi="Times New Roman"/>
          <w:sz w:val="24"/>
          <w:lang w:val="uk-UA"/>
        </w:rPr>
        <w:t xml:space="preserve"> </w:t>
      </w:r>
    </w:p>
    <w:p w:rsidR="004475B5" w:rsidRDefault="00466DD5">
      <w:pPr>
        <w:tabs>
          <w:tab w:val="left" w:pos="567"/>
        </w:tabs>
        <w:spacing w:before="100" w:beforeAutospacing="1" w:after="12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sz w:val="24"/>
          <w:lang w:val="uk-UA"/>
        </w:rPr>
        <w:t>. Предмет Договору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sz w:val="24"/>
          <w:lang w:val="uk-UA"/>
        </w:rPr>
        <w:t xml:space="preserve"> За цим Договором Постачальник </w:t>
      </w:r>
      <w:r>
        <w:rPr>
          <w:rFonts w:ascii="Times New Roman" w:hAnsi="Times New Roman"/>
          <w:sz w:val="24"/>
          <w:lang w:val="uk-UA"/>
        </w:rPr>
        <w:t>продає електричну енергію для забезпечення потреб електроустановок Споживача,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 Споживач оплачує Постачальнику вартість використаної (купованої) електричної енергії та здійснює інші платежі згідно з умовами цього Договору.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1.2.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Найменування товару: Електри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чна енергія (код згідно Національного класифікатора ДК 021:2015: 09310000-5) (далі – товар або електрична енергія). Постачання товару за цим Договором передбачає поставку електричної енергії </w:t>
      </w:r>
      <w:r>
        <w:rPr>
          <w:rFonts w:ascii="Times New Roman" w:hAnsi="Times New Roman"/>
          <w:sz w:val="24"/>
          <w:lang w:val="uk-UA"/>
        </w:rPr>
        <w:t>для забезпечення потреб електроустановок Споживача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допомогою 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ехнічних засобів розподілу</w:t>
      </w:r>
      <w:r>
        <w:rPr>
          <w:rFonts w:ascii="Times New Roman" w:hAnsi="Times New Roman"/>
          <w:sz w:val="24"/>
          <w:lang w:val="uk-UA"/>
        </w:rPr>
        <w:t xml:space="preserve"> електричної енергії.</w:t>
      </w:r>
    </w:p>
    <w:p w:rsidR="004475B5" w:rsidRDefault="00466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Очікуваний обсяг постачання електричної енергії на період ____________________становить ___________________кВт*год та відповідає очікуваному обсягу закупівлі послуг з розподілу (передачі) електричної ене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ргії у оператора системи.  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Обсяги закупівлі електричної енергії можуть бути зменшені залежно від реального фінансування видатків.</w:t>
      </w:r>
    </w:p>
    <w:p w:rsidR="004475B5" w:rsidRDefault="004475B5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before="100" w:beforeAutospacing="1" w:after="120" w:line="240" w:lineRule="auto"/>
        <w:ind w:left="425"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2</w:t>
      </w:r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Умови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постачання</w:t>
      </w:r>
      <w:proofErr w:type="spellEnd"/>
    </w:p>
    <w:p w:rsidR="004475B5" w:rsidRDefault="00466DD5">
      <w:pPr>
        <w:spacing w:before="60" w:after="60" w:line="240" w:lineRule="auto"/>
        <w:ind w:left="426" w:right="-426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Строк (термін) поставки товару: _________________________________________.</w:t>
      </w:r>
    </w:p>
    <w:p w:rsidR="004475B5" w:rsidRDefault="00466DD5">
      <w:pPr>
        <w:spacing w:before="60" w:after="60" w:line="240" w:lineRule="auto"/>
        <w:ind w:left="426" w:right="-426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Місце поставки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(передачі) товару: _______________________________________</w:t>
      </w:r>
    </w:p>
    <w:p w:rsidR="004475B5" w:rsidRDefault="00466DD5">
      <w:pPr>
        <w:spacing w:before="60" w:after="60" w:line="240" w:lineRule="auto"/>
        <w:ind w:left="426" w:right="-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4475B5" w:rsidRDefault="00466DD5">
      <w:pPr>
        <w:spacing w:before="60" w:after="60" w:line="240" w:lineRule="auto"/>
        <w:ind w:left="426" w:right="-426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2.3. Споживач має право змінювати Постачальника відповідно до процедури, викладеної в ПРРЕЕ, та положень цього Договор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у.</w:t>
      </w:r>
    </w:p>
    <w:p w:rsidR="004475B5" w:rsidRDefault="00466DD5">
      <w:pPr>
        <w:spacing w:before="60" w:after="60" w:line="240" w:lineRule="auto"/>
        <w:ind w:left="426" w:right="-426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2.4. Постачальник за цим Договором не має права вимагати від Споживача будь-якої іншої плати за електричну енергію, що не визначена у комерційні пропозиції Постачальника, яка є додатком до цього Договору.</w:t>
      </w:r>
    </w:p>
    <w:p w:rsidR="004475B5" w:rsidRDefault="00466DD5">
      <w:pPr>
        <w:spacing w:before="100" w:beforeAutospacing="1" w:after="120" w:line="240" w:lineRule="auto"/>
        <w:ind w:left="425" w:firstLine="709"/>
        <w:jc w:val="center"/>
        <w:outlineLvl w:val="2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b/>
          <w:sz w:val="24"/>
          <w:lang w:val="uk-UA"/>
        </w:rPr>
        <w:t>. Якість постачання електричної енергії</w:t>
      </w:r>
    </w:p>
    <w:p w:rsidR="004475B5" w:rsidRDefault="00466DD5">
      <w:pPr>
        <w:spacing w:before="60" w:after="60" w:line="240" w:lineRule="auto"/>
        <w:ind w:left="426" w:right="-426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lang w:val="uk-UA"/>
        </w:rPr>
        <w:t>.1. Дл</w:t>
      </w:r>
      <w:r>
        <w:rPr>
          <w:rFonts w:ascii="Times New Roman" w:hAnsi="Times New Roman"/>
          <w:sz w:val="24"/>
          <w:lang w:val="uk-UA"/>
        </w:rPr>
        <w:t xml:space="preserve">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забезпечить</w:t>
      </w:r>
      <w:r>
        <w:rPr>
          <w:rFonts w:ascii="Times New Roman" w:hAnsi="Times New Roman"/>
          <w:sz w:val="24"/>
          <w:lang w:val="uk-UA"/>
        </w:rPr>
        <w:t xml:space="preserve"> задоволення попиту на споживання електричної е</w:t>
      </w:r>
      <w:r>
        <w:rPr>
          <w:rFonts w:ascii="Times New Roman" w:hAnsi="Times New Roman"/>
          <w:sz w:val="24"/>
          <w:lang w:val="uk-UA"/>
        </w:rPr>
        <w:t>нергії Споживачем.</w:t>
      </w:r>
    </w:p>
    <w:p w:rsidR="004475B5" w:rsidRDefault="00466DD5">
      <w:pPr>
        <w:spacing w:before="60" w:after="60" w:line="240" w:lineRule="auto"/>
        <w:ind w:left="426" w:right="-426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lang w:val="uk-UA"/>
        </w:rPr>
        <w:t>.2. Постачальник зобов'язується забезпечити комерційну якість послуг, які надаються Споживачу за цим Договором, що передбачає вчасне та повне інформування Споживача про умови постачання електричної енергії, ціни на електричну енергію та</w:t>
      </w:r>
      <w:r>
        <w:rPr>
          <w:rFonts w:ascii="Times New Roman" w:hAnsi="Times New Roman"/>
          <w:sz w:val="24"/>
          <w:lang w:val="uk-UA"/>
        </w:rPr>
        <w:t xml:space="preserve"> вартість послуг, що надаються, надання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роз'яснень щодо</w:t>
      </w:r>
      <w:r>
        <w:rPr>
          <w:rFonts w:ascii="Times New Roman" w:hAnsi="Times New Roman"/>
          <w:sz w:val="24"/>
          <w:lang w:val="uk-UA"/>
        </w:rPr>
        <w:t xml:space="preserve"> положень актів чинного законодавства, якими регулюються відносини Сторін, ведення точних та прозорих розрахунків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зі</w:t>
      </w:r>
      <w:r>
        <w:rPr>
          <w:rFonts w:ascii="Times New Roman" w:hAnsi="Times New Roman"/>
          <w:sz w:val="24"/>
          <w:lang w:val="uk-UA"/>
        </w:rPr>
        <w:t xml:space="preserve"> Споживачем, а також можливість вирішення спірних питань шляхом досудового врегулюван</w:t>
      </w:r>
      <w:r>
        <w:rPr>
          <w:rFonts w:ascii="Times New Roman" w:hAnsi="Times New Roman"/>
          <w:sz w:val="24"/>
          <w:lang w:val="uk-UA"/>
        </w:rPr>
        <w:t>ня.</w:t>
      </w:r>
    </w:p>
    <w:p w:rsidR="004475B5" w:rsidRDefault="00466DD5">
      <w:pPr>
        <w:pStyle w:val="tj"/>
        <w:spacing w:before="0" w:beforeAutospacing="0" w:after="165" w:afterAutospacing="0"/>
        <w:ind w:left="426" w:right="-426"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3.3. Споживач має право на отримання компенсації за недотримання показників комерційної якості надання послуг Постачальником. Постачальник зобов'язується надавати компенсацію Споживачу за недотримання показників комерційної якості надання послуг Постач</w:t>
      </w:r>
      <w:r>
        <w:rPr>
          <w:rFonts w:eastAsia="Calibri"/>
          <w:lang w:val="uk-UA" w:eastAsia="en-US"/>
        </w:rPr>
        <w:t xml:space="preserve">альником у порядку, затвердженому Регулятором, опублікувати на своєму офіційному веб-сайті порядок надання компенсацій та їх розміри. </w:t>
      </w:r>
    </w:p>
    <w:p w:rsidR="004475B5" w:rsidRDefault="00466DD5">
      <w:pPr>
        <w:spacing w:before="100" w:beforeAutospacing="1" w:after="120" w:line="240" w:lineRule="auto"/>
        <w:ind w:left="425"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</w:rPr>
        <w:t>Ц</w:t>
      </w:r>
      <w:proofErr w:type="gramEnd"/>
      <w:r>
        <w:rPr>
          <w:rFonts w:ascii="Times New Roman" w:hAnsi="Times New Roman"/>
          <w:b/>
          <w:sz w:val="24"/>
        </w:rPr>
        <w:t>іна</w:t>
      </w:r>
      <w:proofErr w:type="spellEnd"/>
      <w:r>
        <w:rPr>
          <w:rFonts w:ascii="Times New Roman" w:hAnsi="Times New Roman"/>
          <w:b/>
          <w:sz w:val="24"/>
        </w:rPr>
        <w:t xml:space="preserve">, порядок </w:t>
      </w:r>
      <w:proofErr w:type="spellStart"/>
      <w:r>
        <w:rPr>
          <w:rFonts w:ascii="Times New Roman" w:hAnsi="Times New Roman"/>
          <w:b/>
          <w:sz w:val="24"/>
        </w:rPr>
        <w:t>обліку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</w:t>
      </w:r>
      <w:r>
        <w:rPr>
          <w:rFonts w:ascii="Times New Roman" w:hAnsi="Times New Roman"/>
          <w:b/>
          <w:sz w:val="24"/>
        </w:rPr>
        <w:t xml:space="preserve"> оплати </w:t>
      </w:r>
      <w:proofErr w:type="spellStart"/>
      <w:r>
        <w:rPr>
          <w:rFonts w:ascii="Times New Roman" w:hAnsi="Times New Roman"/>
          <w:b/>
          <w:sz w:val="24"/>
        </w:rPr>
        <w:t>електричної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енергії</w:t>
      </w:r>
      <w:proofErr w:type="spellEnd"/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 </w:t>
      </w:r>
      <w:r>
        <w:rPr>
          <w:rFonts w:ascii="Times New Roman" w:hAnsi="Times New Roman"/>
          <w:sz w:val="24"/>
          <w:lang w:val="uk-UA"/>
        </w:rPr>
        <w:t xml:space="preserve">Споживач розраховується з Постачальником за електричну енергію </w:t>
      </w:r>
      <w:r>
        <w:rPr>
          <w:rFonts w:ascii="Times New Roman" w:hAnsi="Times New Roman"/>
          <w:sz w:val="24"/>
          <w:lang w:val="uk-UA"/>
        </w:rPr>
        <w:t>за ціною, що на дату укладення цього Договору становить _______________________________________.</w:t>
      </w:r>
    </w:p>
    <w:p w:rsidR="004475B5" w:rsidRDefault="00466DD5">
      <w:pPr>
        <w:tabs>
          <w:tab w:val="left" w:pos="0"/>
        </w:tabs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Споживач розраховується з Постачальником за електричну енергію за цінами, що визначаються відповідно до механізму визначення ціни електричної енергії, згідно з</w:t>
      </w:r>
      <w:r>
        <w:rPr>
          <w:rFonts w:ascii="Times New Roman" w:hAnsi="Times New Roman"/>
          <w:sz w:val="24"/>
          <w:lang w:val="uk-UA"/>
        </w:rPr>
        <w:t xml:space="preserve"> комерційною пропозицією.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4.2. Ціна електричної енергії має зазначатися Постачальником у рахунках про оплату електричної енергії (актах прийняття-передавання товарної продукції чи актах прийому-передачі проданих товарів та/або наданих послуг) за цим Догово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ром. 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випадках застосування до Споживача диференційованих цін електричної енергії суми, вказані в рахунках (актах прийняття-передавання товарної продукції чи акт прийому-передачі проданих товарів та/або наданих послуг), можуть відображати середню ціну, 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бчислену на базі різних диференційованих цін.</w:t>
      </w:r>
    </w:p>
    <w:p w:rsidR="004475B5" w:rsidRDefault="00466DD5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lang w:val="uk-UA"/>
        </w:rPr>
        <w:t xml:space="preserve">Розрахунковим періодом за цим Договором є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 </w:t>
      </w:r>
      <w:r>
        <w:rPr>
          <w:rFonts w:ascii="Times New Roman" w:hAnsi="Times New Roman"/>
          <w:sz w:val="24"/>
          <w:lang w:val="uk-UA"/>
        </w:rPr>
        <w:t>календарний місяць.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uk-UA"/>
        </w:rPr>
        <w:t>. Розрахунки Споживача за цим Договором здійснюються на поточний рахунок із спеціальним режимом використання Постачальника.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Споживач не </w:t>
      </w:r>
      <w:r>
        <w:rPr>
          <w:rFonts w:ascii="Times New Roman" w:hAnsi="Times New Roman"/>
          <w:sz w:val="24"/>
          <w:lang w:val="uk-UA"/>
        </w:rPr>
        <w:t>обмежується у праві здійснювати оплату за цим Договором через банківську платіжну систему та в інший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lang w:val="uk-UA"/>
        </w:rPr>
        <w:t xml:space="preserve"> не заборонений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чинним </w:t>
      </w:r>
      <w:r>
        <w:rPr>
          <w:rFonts w:ascii="Times New Roman" w:hAnsi="Times New Roman"/>
          <w:sz w:val="24"/>
          <w:lang w:val="uk-UA"/>
        </w:rPr>
        <w:t>законодавством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lang w:val="uk-UA"/>
        </w:rPr>
        <w:t xml:space="preserve"> спосіб.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Оплата вартості електричної енергії за цим Договором здійснюється Споживачем виключно шляхом перерахування к</w:t>
      </w:r>
      <w:r>
        <w:rPr>
          <w:rFonts w:ascii="Times New Roman" w:hAnsi="Times New Roman"/>
          <w:sz w:val="24"/>
          <w:lang w:val="uk-UA"/>
        </w:rPr>
        <w:t>оштів на поточний рахунок із спеціальним режимом використання Постачальника.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Оплата вважається здійсненою після того, як  на поточний рахунок</w:t>
      </w:r>
      <w:r>
        <w:t xml:space="preserve"> </w:t>
      </w:r>
      <w:r>
        <w:rPr>
          <w:rFonts w:ascii="Times New Roman" w:hAnsi="Times New Roman"/>
          <w:sz w:val="24"/>
          <w:lang w:val="uk-UA"/>
        </w:rPr>
        <w:t>із спеціальним режимом використання Постачальника надійшла вся сума коштів, що підлягає сплаті за куповану електри</w:t>
      </w:r>
      <w:r>
        <w:rPr>
          <w:rFonts w:ascii="Times New Roman" w:hAnsi="Times New Roman"/>
          <w:sz w:val="24"/>
          <w:lang w:val="uk-UA"/>
        </w:rPr>
        <w:t>чну енергію відповідно до умов цього Договору. Поточний рахунок із спеціальним режимом використання Постачальника зазначається у платіжних документах Постачальника, у тому числі у разі його зміни.</w:t>
      </w:r>
    </w:p>
    <w:p w:rsidR="004475B5" w:rsidRDefault="00466DD5">
      <w:pPr>
        <w:tabs>
          <w:tab w:val="left" w:pos="0"/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uk-UA"/>
        </w:rPr>
        <w:t>4.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Оплата рахунка Постачальника за цим Договором має бути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здійснена Споживачем у строк, визначений у рахунку, який не може бути меншим 5 (п’яти) робочих днів з моменту отримання його Споживачем, або в строк, визначений у комерційній пропозиції,  прийнятій Споживачем</w:t>
      </w:r>
      <w:r>
        <w:rPr>
          <w:rFonts w:ascii="Times New Roman" w:hAnsi="Times New Roman"/>
          <w:sz w:val="24"/>
          <w:szCs w:val="24"/>
        </w:rPr>
        <w:t>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Всі платіжні документи, що виставляються Пост</w:t>
      </w:r>
      <w:r>
        <w:rPr>
          <w:rFonts w:ascii="Times New Roman" w:hAnsi="Times New Roman"/>
          <w:sz w:val="24"/>
          <w:lang w:val="uk-UA"/>
        </w:rPr>
        <w:t>ачальником Споживачу, мають містити чітку інформацію про суму платежу, порядок та строки оплати, що погоджені Сторонами цього Договору, а також можуть містити інформацію щодо адреси, телефонів, офіційних веб-сайтів для отримання інформації про подання звер</w:t>
      </w:r>
      <w:r>
        <w:rPr>
          <w:rFonts w:ascii="Times New Roman" w:hAnsi="Times New Roman"/>
          <w:sz w:val="24"/>
          <w:lang w:val="uk-UA"/>
        </w:rPr>
        <w:t>нень, скарг та претензій щодо якості постачання електричної енергії та надання повідомлень про загрозу електробезпеки.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4.6. Якщо Споживач не здійснив оплату за цим Договором у передбачені Договором строки або не допустив представників Постачальника до розр</w:t>
      </w:r>
      <w:r>
        <w:rPr>
          <w:rFonts w:ascii="Times New Roman" w:hAnsi="Times New Roman"/>
          <w:sz w:val="24"/>
          <w:lang w:val="uk-UA"/>
        </w:rPr>
        <w:t>ахункових засобів комерційного обліку електричної енергії, що розташовані на території споживача,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</w:t>
      </w:r>
      <w:r>
        <w:rPr>
          <w:rFonts w:ascii="Times New Roman" w:hAnsi="Times New Roman"/>
          <w:sz w:val="24"/>
          <w:lang w:val="uk-UA"/>
        </w:rPr>
        <w:t>в до дня відключення у порядку, визначеному ПРРЕЕ.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У разі порушення Споживачем строків оплати за цим Договором, Постачальник має право вимагати сплату пені.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Споживач сплачує Постачальнику пеню у розмірі подвійної облікової ставки НБУ від суми заборгованост</w:t>
      </w:r>
      <w:r>
        <w:rPr>
          <w:rFonts w:ascii="Times New Roman" w:hAnsi="Times New Roman"/>
          <w:sz w:val="24"/>
          <w:lang w:val="uk-UA"/>
        </w:rPr>
        <w:t>і за кожний день прострочення платежу, враховуючи день фактичної оплати, нарахованої  протягом всього періоду прострочення зобов’язання, якщо інше, за згодою Сторін, не буде визначено в додатковій угоді до цього Договору. При розрахунку пені використовують</w:t>
      </w:r>
      <w:r>
        <w:rPr>
          <w:rFonts w:ascii="Times New Roman" w:hAnsi="Times New Roman"/>
          <w:sz w:val="24"/>
          <w:lang w:val="uk-UA"/>
        </w:rPr>
        <w:t>ся розміри облікових ставок НБУ, що діяли у період прострочки, за який сплачується пеня. Санкції сплачуються Споживачем на розрахунковий рахунок для оплати пені, вказаний у рахунку на оплату відповідної санкції.</w:t>
      </w:r>
    </w:p>
    <w:p w:rsidR="004475B5" w:rsidRDefault="00466DD5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4.8. Споживач здійснює плату за послугу з ро</w:t>
      </w:r>
      <w:r>
        <w:rPr>
          <w:rFonts w:ascii="Times New Roman" w:hAnsi="Times New Roman"/>
          <w:sz w:val="24"/>
          <w:szCs w:val="24"/>
          <w:lang w:val="uk-UA"/>
        </w:rPr>
        <w:t>зподілу електричної енергії  у відповідності до умов комерційної пропозиції.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color w:val="FF0000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4.9. Звіряння фактичного обсягу спожитої електричної енергії на певну дату чи протягом відповідного періоду проводиться за вимогою однієї із Сторін, але не рідше одного разу на </w:t>
      </w:r>
      <w:r>
        <w:rPr>
          <w:rFonts w:ascii="Times New Roman" w:hAnsi="Times New Roman"/>
          <w:sz w:val="24"/>
          <w:lang w:val="uk-UA"/>
        </w:rPr>
        <w:t>рік, шляхом складання двостороннього акту звіряння взаєморозрахунків. Один примірник цього акту Споживач зобов’язаний повернути Постачальнику підписаним у термін протягом 10 днів з дня його отримання.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4.10. У разі виникнення спірних питань між споживачем т</w:t>
      </w:r>
      <w:r>
        <w:rPr>
          <w:rFonts w:ascii="Times New Roman" w:hAnsi="Times New Roman"/>
          <w:sz w:val="24"/>
          <w:lang w:val="uk-UA"/>
        </w:rPr>
        <w:t xml:space="preserve">а постачальником послуг комерційного обліку (оператором системи) щодо повноти/достовірності показів розрахункових засобів обліку, Постачальник може надавати Споживачу консультації та іншу допомогу щодо врегулювання спірних питань. Але в будь-якому випадку </w:t>
      </w:r>
      <w:r>
        <w:rPr>
          <w:rFonts w:ascii="Times New Roman" w:hAnsi="Times New Roman"/>
          <w:sz w:val="24"/>
          <w:lang w:val="uk-UA"/>
        </w:rPr>
        <w:t>інформація  постачальника послуг комерційного обліку (оператора системи) є пріоритетною для здійснення комерційних розрахунків за цим Договором. Наявність заперечень з боку Споживача або спорів щодо показів засобів обліку не є підставою для затримки та/або</w:t>
      </w:r>
      <w:r>
        <w:rPr>
          <w:rFonts w:ascii="Times New Roman" w:hAnsi="Times New Roman"/>
          <w:sz w:val="24"/>
          <w:lang w:val="uk-UA"/>
        </w:rPr>
        <w:t xml:space="preserve"> не повної оплати коштів, згідно виставлених Постачальником рахунків (актів прийняття-передавання товарної продукції чи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акт прийому-передачі проданих товарів та/або наданих послуг</w:t>
      </w:r>
      <w:r>
        <w:rPr>
          <w:rFonts w:ascii="Times New Roman" w:hAnsi="Times New Roman"/>
          <w:sz w:val="24"/>
          <w:lang w:val="uk-UA"/>
        </w:rPr>
        <w:t>).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4.11. Постачальник не несе відповідальності у вигляді відшкодування збиткі</w:t>
      </w:r>
      <w:r>
        <w:rPr>
          <w:rFonts w:ascii="Times New Roman" w:hAnsi="Times New Roman"/>
          <w:sz w:val="24"/>
          <w:lang w:val="uk-UA"/>
        </w:rPr>
        <w:t xml:space="preserve">в, сплати неустойки, </w:t>
      </w:r>
      <w:proofErr w:type="spellStart"/>
      <w:r>
        <w:rPr>
          <w:rFonts w:ascii="Times New Roman" w:hAnsi="Times New Roman"/>
          <w:sz w:val="24"/>
          <w:lang w:val="uk-UA"/>
        </w:rPr>
        <w:t>оперативно</w:t>
      </w:r>
      <w:proofErr w:type="spellEnd"/>
      <w:r>
        <w:rPr>
          <w:rFonts w:ascii="Times New Roman" w:hAnsi="Times New Roman"/>
          <w:sz w:val="24"/>
          <w:lang w:val="uk-UA"/>
        </w:rPr>
        <w:t xml:space="preserve">-господарських санкцій при використанні даних постачальника послуг комерційного обліку для здійснення комерційних розрахунків зі Споживачем. 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4.15. Комерційна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пропозиція Постачальника</w:t>
      </w:r>
      <w:r>
        <w:rPr>
          <w:rFonts w:ascii="Times New Roman" w:hAnsi="Times New Roman"/>
          <w:sz w:val="24"/>
          <w:lang w:val="uk-UA"/>
        </w:rPr>
        <w:t>, яка є додатком до цього Договору, має мі</w:t>
      </w:r>
      <w:r>
        <w:rPr>
          <w:rFonts w:ascii="Times New Roman" w:hAnsi="Times New Roman"/>
          <w:sz w:val="24"/>
          <w:lang w:val="uk-UA"/>
        </w:rPr>
        <w:t>стити наступну інформацію: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1) ціну (тариф) електричної енергії, у тому числі диференційовані ціни (тарифи);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2) спосіб оплати;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3) термін (строк) виставлення рахунку за спожиту електричну енергію (акту прийняття-передавання товарної продукції чи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акт прийому-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передачі проданих товарів та/або наданих послуг</w:t>
      </w:r>
      <w:r>
        <w:rPr>
          <w:rFonts w:ascii="Times New Roman" w:hAnsi="Times New Roman"/>
          <w:sz w:val="24"/>
          <w:lang w:val="uk-UA"/>
        </w:rPr>
        <w:t>) та строк його оплати;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4) розмір пені за порушення строку оплати;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5) зобов′язання надавати компенсації Споживачу за недодержання Постачальником комерційної якості надання послуг;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6) термін дії Договору та умо</w:t>
      </w:r>
      <w:r>
        <w:rPr>
          <w:rFonts w:ascii="Times New Roman" w:hAnsi="Times New Roman"/>
          <w:sz w:val="24"/>
          <w:lang w:val="uk-UA"/>
        </w:rPr>
        <w:t>ви пролонгації;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7) визначення способу оплати послуг з розподілу електричної енергії;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8) інші умови.</w:t>
      </w:r>
    </w:p>
    <w:p w:rsidR="004475B5" w:rsidRDefault="00466DD5">
      <w:pPr>
        <w:tabs>
          <w:tab w:val="left" w:pos="0"/>
        </w:tabs>
        <w:spacing w:before="60" w:after="60" w:line="240" w:lineRule="auto"/>
        <w:ind w:right="-1"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4.16. У разі наявності у Споживача обґрунтованих заперечень щодо окремих положень (умов) комерційної пропозиції, Сторони узгоджують їх застосування </w:t>
      </w:r>
      <w:r>
        <w:rPr>
          <w:rFonts w:ascii="Times New Roman" w:hAnsi="Times New Roman"/>
          <w:sz w:val="24"/>
          <w:lang w:val="uk-UA"/>
        </w:rPr>
        <w:t>(редакцію) шляхом укладення додаткової угоди.</w:t>
      </w:r>
    </w:p>
    <w:p w:rsidR="004475B5" w:rsidRDefault="00466DD5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5. Права та обов'язки Споживача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  <w:lang w:val="uk-UA"/>
        </w:rPr>
        <w:t>Споживач має право:</w:t>
      </w:r>
    </w:p>
    <w:p w:rsidR="004475B5" w:rsidRDefault="00466DD5">
      <w:pPr>
        <w:pStyle w:val="1"/>
        <w:spacing w:before="60" w:after="60"/>
        <w:ind w:firstLine="568"/>
        <w:jc w:val="both"/>
        <w:rPr>
          <w:b w:val="0"/>
          <w:sz w:val="24"/>
        </w:rPr>
      </w:pPr>
      <w:r>
        <w:rPr>
          <w:b w:val="0"/>
          <w:sz w:val="24"/>
        </w:rPr>
        <w:t>1)</w:t>
      </w:r>
      <w:r>
        <w:rPr>
          <w:sz w:val="24"/>
        </w:rPr>
        <w:t xml:space="preserve"> </w:t>
      </w:r>
      <w:r>
        <w:rPr>
          <w:b w:val="0"/>
          <w:sz w:val="24"/>
        </w:rPr>
        <w:t>отримувати електричну енергію на умовах, визначених у цьому Договорі;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sz w:val="24"/>
          <w:lang w:val="uk-UA"/>
        </w:rPr>
        <w:t xml:space="preserve">) купувати електричну енергію із забезпеченням рівня якості послуг, відповідно </w:t>
      </w:r>
      <w:r>
        <w:rPr>
          <w:rFonts w:ascii="Times New Roman" w:hAnsi="Times New Roman"/>
          <w:sz w:val="24"/>
          <w:lang w:val="uk-UA"/>
        </w:rPr>
        <w:t>до вимог діючих стандартів якості надання послуг, затверджених Регулятором;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3) </w:t>
      </w:r>
      <w:r>
        <w:t xml:space="preserve"> </w:t>
      </w:r>
      <w:r>
        <w:rPr>
          <w:rFonts w:ascii="Times New Roman" w:hAnsi="Times New Roman"/>
          <w:sz w:val="24"/>
          <w:lang w:val="uk-UA"/>
        </w:rPr>
        <w:t>безоплатно отримувати всю інформацію стосовно його прав та обов’язків, інформацію про ціну, порядок оплати спожитої електричної енергії, а також іншу інформацію, що має надават</w:t>
      </w:r>
      <w:r>
        <w:rPr>
          <w:rFonts w:ascii="Times New Roman" w:hAnsi="Times New Roman"/>
          <w:sz w:val="24"/>
          <w:lang w:val="uk-UA"/>
        </w:rPr>
        <w:t>ись Постачальником відповідно до чинного законодавства та/або цього Договору;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lang w:val="uk-UA"/>
        </w:rPr>
        <w:t>) безоплатно отримувати інформацію про обсяги та інші параметри власного споживання електричної енергії;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sz w:val="24"/>
          <w:lang w:val="uk-UA"/>
        </w:rPr>
        <w:t>) звертатися до Постачальника для вирішення будь-яких питань, пов'</w:t>
      </w:r>
      <w:r>
        <w:rPr>
          <w:rFonts w:ascii="Times New Roman" w:hAnsi="Times New Roman"/>
          <w:sz w:val="24"/>
          <w:lang w:val="uk-UA"/>
        </w:rPr>
        <w:t>язаних з виконанням цього Договору;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6) вимагати від Постачальника пояснень щодо виставлених рахунків (актів прийняття-передавання товарної продукції чи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акт прийому-передачі проданих товарів та/або наданих послуг</w:t>
      </w:r>
      <w:r>
        <w:rPr>
          <w:rFonts w:ascii="Times New Roman" w:hAnsi="Times New Roman"/>
          <w:sz w:val="24"/>
          <w:lang w:val="uk-UA"/>
        </w:rPr>
        <w:t>) 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lang w:val="uk-UA"/>
        </w:rPr>
        <w:t xml:space="preserve"> у випадку незгоди з порядком розрахунків</w:t>
      </w:r>
      <w:r>
        <w:rPr>
          <w:rFonts w:ascii="Times New Roman" w:hAnsi="Times New Roman"/>
          <w:sz w:val="24"/>
          <w:lang w:val="uk-UA"/>
        </w:rPr>
        <w:t xml:space="preserve"> або розрахованою сумою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lang w:val="uk-UA"/>
        </w:rPr>
        <w:t xml:space="preserve"> вимагати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організації та </w:t>
      </w:r>
      <w:r>
        <w:rPr>
          <w:rFonts w:ascii="Times New Roman" w:hAnsi="Times New Roman"/>
          <w:sz w:val="24"/>
          <w:lang w:val="uk-UA"/>
        </w:rPr>
        <w:t>проведення звіряння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(за необхідності із залученням постачальника послуг комерційного обліку та/або оператора системи)</w:t>
      </w:r>
      <w:r>
        <w:rPr>
          <w:rFonts w:ascii="Times New Roman" w:hAnsi="Times New Roman"/>
          <w:sz w:val="24"/>
          <w:lang w:val="uk-UA"/>
        </w:rPr>
        <w:t xml:space="preserve"> розрахункових даних та/або оскаржувати їх в установленому цим Договором та чинним законод</w:t>
      </w:r>
      <w:r>
        <w:rPr>
          <w:rFonts w:ascii="Times New Roman" w:hAnsi="Times New Roman"/>
          <w:sz w:val="24"/>
          <w:lang w:val="uk-UA"/>
        </w:rPr>
        <w:t>авством порядку;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7) проводити звіряння фактичних розрахунків в установленому ПРРЕЕ порядку з підписанням відповідного </w:t>
      </w:r>
      <w:proofErr w:type="spellStart"/>
      <w:r>
        <w:rPr>
          <w:rFonts w:ascii="Times New Roman" w:hAnsi="Times New Roman"/>
          <w:sz w:val="24"/>
          <w:lang w:val="uk-UA"/>
        </w:rPr>
        <w:t>акта</w:t>
      </w:r>
      <w:proofErr w:type="spellEnd"/>
      <w:r>
        <w:rPr>
          <w:rFonts w:ascii="Times New Roman" w:hAnsi="Times New Roman"/>
          <w:sz w:val="24"/>
          <w:lang w:val="uk-UA"/>
        </w:rPr>
        <w:t>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8) оскаржувати будь-які несанкціоновані, неправомірні чи інші дії Постачальника, що порушують права Споживача, та брати участь у роз</w:t>
      </w:r>
      <w:r>
        <w:rPr>
          <w:rFonts w:ascii="Times New Roman" w:hAnsi="Times New Roman"/>
          <w:sz w:val="24"/>
          <w:lang w:val="uk-UA"/>
        </w:rPr>
        <w:t>гляді цих скарг на умовах, визначених чинним законодавством та цим Договором;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9) отримувати відшкодування збитків від Постачальника, понесених у зв'язку з невиконанням або неналежним виконанням Постачальником своїх зобов'язань перед Споживачем, відповідно </w:t>
      </w:r>
      <w:r>
        <w:rPr>
          <w:rFonts w:ascii="Times New Roman" w:hAnsi="Times New Roman"/>
          <w:sz w:val="24"/>
          <w:lang w:val="uk-UA"/>
        </w:rPr>
        <w:t>до умов цього Договору та чинного законодавства;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10)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мати</w:t>
      </w:r>
      <w:r>
        <w:rPr>
          <w:rFonts w:ascii="Times New Roman" w:hAnsi="Times New Roman"/>
          <w:sz w:val="24"/>
          <w:lang w:val="uk-UA"/>
        </w:rPr>
        <w:t xml:space="preserve"> інші права, передбачені чинним законодавством і цим Договором.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sz w:val="24"/>
          <w:lang w:val="uk-UA"/>
        </w:rPr>
        <w:t>.2. Споживач зобов'язується: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1) забезпечувати своєчасну та повну оплату спожитої електричної енергії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умов цього Договору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lang w:val="uk-UA"/>
        </w:rPr>
        <w:t>згідно з умовами цього Договору;</w:t>
      </w:r>
    </w:p>
    <w:p w:rsidR="004475B5" w:rsidRDefault="00466DD5">
      <w:pPr>
        <w:spacing w:before="60" w:after="60" w:line="240" w:lineRule="auto"/>
        <w:ind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2) мати діючий договір споживача про надання послуг з розподілу/передачі електричної енергії з оператором системи,  на території здійснення ліцензованої діяльності якого приєднана до електричних мереж електроустановка Спож</w:t>
      </w:r>
      <w:r>
        <w:rPr>
          <w:rFonts w:ascii="Times New Roman" w:hAnsi="Times New Roman"/>
          <w:sz w:val="24"/>
          <w:lang w:val="uk-UA"/>
        </w:rPr>
        <w:t>ивача;</w:t>
      </w:r>
    </w:p>
    <w:p w:rsidR="004475B5" w:rsidRDefault="00466DD5">
      <w:pPr>
        <w:spacing w:before="60" w:after="60" w:line="240" w:lineRule="auto"/>
        <w:ind w:right="-426" w:firstLine="56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3) раціонально використовувати електричну енергію,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енергії;</w:t>
      </w:r>
    </w:p>
    <w:p w:rsidR="004475B5" w:rsidRDefault="00466DD5">
      <w:pPr>
        <w:spacing w:before="60" w:after="60" w:line="240" w:lineRule="auto"/>
        <w:ind w:right="-426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4) протягом 5 робочих днів 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дати</w:t>
      </w:r>
      <w:r>
        <w:rPr>
          <w:rFonts w:ascii="Times New Roman" w:hAnsi="Times New Roman"/>
          <w:sz w:val="24"/>
          <w:lang w:val="uk-UA"/>
        </w:rPr>
        <w:t xml:space="preserve"> постачання електричної енергії новим </w:t>
      </w:r>
      <w:proofErr w:type="spellStart"/>
      <w:r>
        <w:rPr>
          <w:rFonts w:ascii="Times New Roman" w:hAnsi="Times New Roman"/>
          <w:sz w:val="24"/>
          <w:lang w:val="uk-UA"/>
        </w:rPr>
        <w:t>електропостачальником</w:t>
      </w:r>
      <w:proofErr w:type="spellEnd"/>
      <w:r>
        <w:rPr>
          <w:rFonts w:ascii="Times New Roman" w:hAnsi="Times New Roman"/>
          <w:sz w:val="24"/>
          <w:lang w:val="uk-UA"/>
        </w:rPr>
        <w:t xml:space="preserve">, але не пізніше дати,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зазначеної у цьому Договорі</w:t>
      </w:r>
      <w:r>
        <w:rPr>
          <w:rFonts w:ascii="Times New Roman" w:hAnsi="Times New Roman"/>
          <w:sz w:val="24"/>
          <w:lang w:val="uk-UA"/>
        </w:rPr>
        <w:t>, розрахуватися з Постачальником за спожиту електричну енергію;</w:t>
      </w:r>
    </w:p>
    <w:p w:rsidR="004475B5" w:rsidRDefault="00466DD5">
      <w:pPr>
        <w:spacing w:before="60" w:after="60" w:line="240" w:lineRule="auto"/>
        <w:ind w:right="-426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5) надавати забезпечення виконання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зобов'язань</w:t>
      </w:r>
      <w:r>
        <w:rPr>
          <w:rFonts w:ascii="Times New Roman" w:hAnsi="Times New Roman"/>
          <w:sz w:val="24"/>
          <w:lang w:val="uk-UA"/>
        </w:rPr>
        <w:t xml:space="preserve"> з </w:t>
      </w:r>
      <w:r>
        <w:rPr>
          <w:rFonts w:ascii="Times New Roman" w:hAnsi="Times New Roman"/>
          <w:sz w:val="24"/>
          <w:lang w:val="uk-UA"/>
        </w:rPr>
        <w:t xml:space="preserve">оплати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послуг з</w:t>
      </w:r>
      <w:r>
        <w:rPr>
          <w:rFonts w:ascii="Times New Roman" w:hAnsi="Times New Roman"/>
          <w:sz w:val="24"/>
          <w:lang w:val="uk-UA"/>
        </w:rPr>
        <w:t xml:space="preserve"> постачання електричної енергії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lang w:val="uk-UA"/>
        </w:rPr>
        <w:t xml:space="preserve"> 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разі</w:t>
      </w:r>
      <w:r>
        <w:rPr>
          <w:rFonts w:ascii="Times New Roman" w:hAnsi="Times New Roman"/>
          <w:sz w:val="24"/>
          <w:lang w:val="uk-UA"/>
        </w:rPr>
        <w:t xml:space="preserve"> неможливості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погашення заборгованості за поставлену електричну енергію</w:t>
      </w:r>
      <w:r>
        <w:rPr>
          <w:rFonts w:ascii="Times New Roman" w:hAnsi="Times New Roman"/>
          <w:sz w:val="24"/>
          <w:lang w:val="uk-UA"/>
        </w:rPr>
        <w:t xml:space="preserve"> та/або перебування в процесі ліквідації чи банкрутства відповідно до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положень</w:t>
      </w:r>
      <w:r>
        <w:rPr>
          <w:rFonts w:ascii="Times New Roman" w:hAnsi="Times New Roman"/>
          <w:sz w:val="24"/>
          <w:lang w:val="uk-UA"/>
        </w:rPr>
        <w:t xml:space="preserve"> Цивільного кодексу України та ПРРЕЕ;</w:t>
      </w:r>
    </w:p>
    <w:p w:rsidR="004475B5" w:rsidRDefault="00466DD5">
      <w:pPr>
        <w:spacing w:before="60" w:after="60" w:line="240" w:lineRule="auto"/>
        <w:ind w:right="-426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6) безперешкодн</w:t>
      </w:r>
      <w:r>
        <w:rPr>
          <w:rFonts w:ascii="Times New Roman" w:hAnsi="Times New Roman"/>
          <w:sz w:val="24"/>
          <w:lang w:val="uk-UA"/>
        </w:rPr>
        <w:t>о допускати на свою територію, у свої житлові, виробничі, господарські та підсобні приміщення, де розташовані вузли обліку електричної енергії, засоби вимірювальної техніки, представників Постачальника після пред'явлення ними службових посвідчень для звіря</w:t>
      </w:r>
      <w:r>
        <w:rPr>
          <w:rFonts w:ascii="Times New Roman" w:hAnsi="Times New Roman"/>
          <w:sz w:val="24"/>
          <w:lang w:val="uk-UA"/>
        </w:rPr>
        <w:t xml:space="preserve">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показників</w:t>
      </w:r>
      <w:r>
        <w:rPr>
          <w:rFonts w:ascii="Times New Roman" w:hAnsi="Times New Roman"/>
          <w:sz w:val="24"/>
          <w:lang w:val="uk-UA"/>
        </w:rPr>
        <w:t xml:space="preserve"> фактично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спожитих Споживачем обсягів</w:t>
      </w:r>
      <w:r>
        <w:rPr>
          <w:rFonts w:ascii="Times New Roman" w:hAnsi="Times New Roman"/>
          <w:sz w:val="24"/>
          <w:lang w:val="uk-UA"/>
        </w:rPr>
        <w:t xml:space="preserve"> електричної енергії;</w:t>
      </w:r>
    </w:p>
    <w:p w:rsidR="004475B5" w:rsidRDefault="00466DD5">
      <w:pPr>
        <w:spacing w:before="60" w:after="60" w:line="240" w:lineRule="auto"/>
        <w:ind w:right="-426" w:firstLine="709"/>
        <w:jc w:val="both"/>
        <w:rPr>
          <w:color w:val="000000"/>
        </w:rPr>
      </w:pPr>
      <w:r>
        <w:rPr>
          <w:rFonts w:ascii="Times New Roman" w:hAnsi="Times New Roman"/>
          <w:sz w:val="24"/>
          <w:lang w:val="uk-UA"/>
        </w:rPr>
        <w:t>7) відшкодовувати Постачальнику збитки, понесені ним у зв'язку з невиконанням або неналежним виконанням Споживачем своїх зобов'язань перед Постачальником, що покладені на нього чинним</w:t>
      </w:r>
      <w:r>
        <w:rPr>
          <w:rFonts w:ascii="Times New Roman" w:hAnsi="Times New Roman"/>
          <w:sz w:val="24"/>
          <w:lang w:val="uk-UA"/>
        </w:rPr>
        <w:t xml:space="preserve"> законодавством та/або цим Договором;</w:t>
      </w:r>
      <w:r>
        <w:rPr>
          <w:color w:val="000000"/>
        </w:rPr>
        <w:t xml:space="preserve">  </w:t>
      </w:r>
    </w:p>
    <w:p w:rsidR="004475B5" w:rsidRDefault="00466DD5">
      <w:pPr>
        <w:spacing w:before="60" w:after="60" w:line="240" w:lineRule="auto"/>
        <w:ind w:right="-426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8) вживати всіх можливих заходів, спрямованих на запобігання травматизму та загрозі життю, пошкодженню обладнання та продукції, негативним екологічним наслідкам тощо, у разі отримання попередження про відключення (об</w:t>
      </w:r>
      <w:r>
        <w:rPr>
          <w:rFonts w:ascii="Times New Roman" w:hAnsi="Times New Roman"/>
          <w:sz w:val="24"/>
          <w:lang w:val="uk-UA"/>
        </w:rPr>
        <w:t>меження) згідно ПРРЕЕ;</w:t>
      </w:r>
    </w:p>
    <w:p w:rsidR="004475B5" w:rsidRDefault="00466DD5">
      <w:pPr>
        <w:spacing w:after="0"/>
        <w:ind w:right="-426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9) відшкодувати збитки Постачальника, пов’язані з відхиленням Споживача від договірних величин споживання електричної енергії за розрахунковий період, відповідно до актів </w:t>
      </w:r>
      <w:r>
        <w:rPr>
          <w:rFonts w:ascii="Times New Roman" w:hAnsi="Times New Roman"/>
          <w:sz w:val="24"/>
          <w:szCs w:val="24"/>
          <w:lang w:val="uk-UA"/>
        </w:rPr>
        <w:t>законодавства та умов Договору;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75B5" w:rsidRDefault="00466DD5">
      <w:pPr>
        <w:spacing w:after="0"/>
        <w:ind w:right="-426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формою, узгодженою Сторонами чи оприлюдненою Постачальником на його офіційному веб-сай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ті;</w:t>
      </w:r>
    </w:p>
    <w:p w:rsidR="004475B5" w:rsidRDefault="00466DD5">
      <w:pPr>
        <w:spacing w:before="60" w:after="0" w:line="240" w:lineRule="auto"/>
        <w:ind w:right="-426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11) виконувати інші обов'язки, покладені на Споживача чинним законодавством та/або цим Договором.</w:t>
      </w:r>
    </w:p>
    <w:p w:rsidR="004475B5" w:rsidRDefault="00466DD5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6</w:t>
      </w:r>
      <w:r>
        <w:rPr>
          <w:rFonts w:ascii="Times New Roman" w:hAnsi="Times New Roman"/>
          <w:b/>
          <w:sz w:val="27"/>
        </w:rPr>
        <w:t xml:space="preserve">. Права і </w:t>
      </w:r>
      <w:proofErr w:type="spellStart"/>
      <w:r>
        <w:rPr>
          <w:rFonts w:ascii="Times New Roman" w:hAnsi="Times New Roman"/>
          <w:b/>
          <w:sz w:val="27"/>
        </w:rPr>
        <w:t>обов'язки</w:t>
      </w:r>
      <w:proofErr w:type="spellEnd"/>
      <w:r>
        <w:rPr>
          <w:rFonts w:ascii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</w:rPr>
        <w:t>Постачальника</w:t>
      </w:r>
      <w:proofErr w:type="spellEnd"/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  <w:lang w:val="uk-UA"/>
        </w:rPr>
        <w:t>.1. Постачальник має право: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1) отримувати від Споживача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оплату</w:t>
      </w:r>
      <w:r>
        <w:rPr>
          <w:rFonts w:ascii="Times New Roman" w:hAnsi="Times New Roman"/>
          <w:sz w:val="24"/>
          <w:lang w:val="uk-UA"/>
        </w:rPr>
        <w:t xml:space="preserve"> за поставлену електричну енергію;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2) контролювати прав</w:t>
      </w:r>
      <w:r>
        <w:rPr>
          <w:rFonts w:ascii="Times New Roman" w:hAnsi="Times New Roman"/>
          <w:sz w:val="24"/>
          <w:lang w:val="uk-UA"/>
        </w:rPr>
        <w:t>ильність оформлення Споживачем платіжних документів;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3) ініціювати припинення постачання електричної енергії Споживачу у порядку та на умовах, визначених цим Договором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lang w:val="uk-UA"/>
        </w:rPr>
        <w:t xml:space="preserve"> та чинним законодавством;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4) безперешкодного доступу до розрахункових засобів вимірювал</w:t>
      </w:r>
      <w:r>
        <w:rPr>
          <w:rFonts w:ascii="Times New Roman" w:hAnsi="Times New Roman"/>
          <w:sz w:val="24"/>
          <w:lang w:val="uk-UA"/>
        </w:rPr>
        <w:t xml:space="preserve">ьної техніки Споживача для перевірки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показників</w:t>
      </w:r>
      <w:r>
        <w:rPr>
          <w:rFonts w:ascii="Times New Roman" w:hAnsi="Times New Roman"/>
          <w:sz w:val="24"/>
          <w:lang w:val="uk-UA"/>
        </w:rPr>
        <w:t xml:space="preserve"> фактично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спожитих</w:t>
      </w:r>
      <w:r>
        <w:rPr>
          <w:rFonts w:ascii="Times New Roman" w:hAnsi="Times New Roman"/>
          <w:sz w:val="24"/>
          <w:lang w:val="uk-UA"/>
        </w:rPr>
        <w:t xml:space="preserve"> Споживачем обсягів електричної енергії;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5) проводити разом зі Споживачем звіряння фактично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спожитих</w:t>
      </w:r>
      <w:r>
        <w:rPr>
          <w:rFonts w:ascii="Times New Roman" w:hAnsi="Times New Roman"/>
          <w:sz w:val="24"/>
          <w:lang w:val="uk-UA"/>
        </w:rPr>
        <w:t xml:space="preserve"> обсягів електричної енергії з підписанням відповідного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акту</w:t>
      </w:r>
      <w:r>
        <w:rPr>
          <w:rFonts w:ascii="Times New Roman" w:hAnsi="Times New Roman"/>
          <w:sz w:val="24"/>
          <w:lang w:val="uk-UA"/>
        </w:rPr>
        <w:t>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6) отримувати відшкодування з</w:t>
      </w:r>
      <w:r>
        <w:rPr>
          <w:rFonts w:ascii="Times New Roman" w:hAnsi="Times New Roman"/>
          <w:sz w:val="24"/>
          <w:lang w:val="uk-UA"/>
        </w:rPr>
        <w:t>битків від Споживача, що понесені Постачальником у зв'язку з невиконанням або неналежним виконанням Споживачем своїх зобов'язань перед Постачальником, відповідно до умов цього Договору та чинного законодавства;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всі види забезпечення виконання зобов’я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зань споживачем щодо оплати договірних обсягів споживання електричної енергії у формі і видах, передбачених законодавством України;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8) повідомляти Споживачу інформацію, яка стосується взаємовідносин Сторін або може бути корисною для Споживача, шляхом направлення відповідної інформації: 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через особистий кабінет на своєму офіційному сайті у мережі Інтернет;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 засобами електронного зв'я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зку на електронну адресу, вказану у Договорі;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СМС-повідомленням на номер, зазначений у Договорі;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в центрах обслуговування споживачів;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засобами поштового зв’язку;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в рахунках на оплату електричної енергії;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через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-центр; 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іншими способами.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9)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ати</w:t>
      </w:r>
      <w:r>
        <w:rPr>
          <w:rFonts w:ascii="Times New Roman" w:hAnsi="Times New Roman"/>
          <w:sz w:val="24"/>
          <w:lang w:val="uk-UA"/>
        </w:rPr>
        <w:t xml:space="preserve"> інші права, передбачені чинним законодавством і цим Договором.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  <w:lang w:val="uk-UA"/>
        </w:rPr>
        <w:t>. Постачальник зобов'язується: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1) забезпечувати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належну </w:t>
      </w:r>
      <w:r>
        <w:rPr>
          <w:rFonts w:ascii="Times New Roman" w:hAnsi="Times New Roman"/>
          <w:sz w:val="24"/>
          <w:lang w:val="uk-UA"/>
        </w:rPr>
        <w:t>якість надання послуг з постачання електричної енергії відповідно до вимог чинного законодавства та цього Договору;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2) нараховуват</w:t>
      </w:r>
      <w:r>
        <w:rPr>
          <w:rFonts w:ascii="Times New Roman" w:hAnsi="Times New Roman"/>
          <w:sz w:val="24"/>
          <w:lang w:val="uk-UA"/>
        </w:rPr>
        <w:t>и і виставляти рахунки (акти прийняття-передавання товарної продукції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чи акт прийому-передачі проданих товарів та/або наданих послуг</w:t>
      </w:r>
      <w:r>
        <w:rPr>
          <w:rFonts w:ascii="Times New Roman" w:hAnsi="Times New Roman"/>
          <w:sz w:val="24"/>
          <w:lang w:val="uk-UA"/>
        </w:rPr>
        <w:t>) Споживачу за поставлену електричну енергію відповідно до вимог та у порядку, передбачених ПРРЕЕ та цим Договором;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3) надав</w:t>
      </w:r>
      <w:r>
        <w:rPr>
          <w:rFonts w:ascii="Times New Roman" w:hAnsi="Times New Roman"/>
          <w:sz w:val="24"/>
          <w:lang w:val="uk-UA"/>
        </w:rPr>
        <w:t xml:space="preserve">ати Споживачу інформацію про його права 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обов'язки</w:t>
      </w:r>
      <w:r>
        <w:rPr>
          <w:rFonts w:ascii="Times New Roman" w:hAnsi="Times New Roman"/>
          <w:sz w:val="24"/>
          <w:lang w:val="uk-UA"/>
        </w:rPr>
        <w:t>, ціни на електричну енергію, порядок оплати за спожиту електричну енергію, порядок зміни діючого Постачальника та іншу інформацію, що вимагається цим Договором та чинним законодавством, а також інформаці</w:t>
      </w:r>
      <w:r>
        <w:rPr>
          <w:rFonts w:ascii="Times New Roman" w:hAnsi="Times New Roman"/>
          <w:sz w:val="24"/>
          <w:lang w:val="uk-UA"/>
        </w:rPr>
        <w:t>ю про ефективне споживання електричної енергії. Така інформація оприлюднюється на офіційному веб-сайті Постачальника, повідомляється Споживачу у спосіб, передбачений п.6.1 цього Договору, безкоштовно надається Споживачу на його запит;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4) видавати Споживаче</w:t>
      </w:r>
      <w:r>
        <w:rPr>
          <w:rFonts w:ascii="Times New Roman" w:hAnsi="Times New Roman"/>
          <w:sz w:val="24"/>
          <w:lang w:val="uk-UA"/>
        </w:rPr>
        <w:t>ві безоплатно платіжні документи;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5) приймати оплату наданих за цим Договором послуг будь-яким способом, що передбачений цим Договором;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6) розглядати в установленому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чинним</w:t>
      </w:r>
      <w:r>
        <w:rPr>
          <w:rFonts w:ascii="Times New Roman" w:hAnsi="Times New Roman"/>
          <w:sz w:val="24"/>
          <w:lang w:val="uk-UA"/>
        </w:rPr>
        <w:t xml:space="preserve"> законодавством порядку звернення Споживача, зокрема з питань нарахувань за електрич</w:t>
      </w:r>
      <w:r>
        <w:rPr>
          <w:rFonts w:ascii="Times New Roman" w:hAnsi="Times New Roman"/>
          <w:sz w:val="24"/>
          <w:lang w:val="uk-UA"/>
        </w:rPr>
        <w:t>ну енергію, і за наявності відповідних підстав задовольняти його вимоги;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7) забезпечувати належну організацію власної роботи для можливості передачі та обробки звернення Споживача з питань, що пов'язані з виконанням цього Договору;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8) забезпечувати конфіде</w:t>
      </w:r>
      <w:r>
        <w:rPr>
          <w:rFonts w:ascii="Times New Roman" w:hAnsi="Times New Roman"/>
          <w:sz w:val="24"/>
          <w:lang w:val="uk-UA"/>
        </w:rPr>
        <w:t xml:space="preserve">нційність даних,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які отримуються</w:t>
      </w:r>
      <w:r>
        <w:rPr>
          <w:rFonts w:ascii="Times New Roman" w:hAnsi="Times New Roman"/>
          <w:sz w:val="24"/>
          <w:lang w:val="uk-UA"/>
        </w:rPr>
        <w:t xml:space="preserve"> від Споживача;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9) відшкодовувати збитки, понесені Споживачем у випадку невиконання або неналежного виконання Постачальником своїх зобов'язань за цим Договором;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10) протягом 3 (трьох) днів від дати, коли Постачальнику стало відомо про нездатність продовжувати постачання електричної енергії Споживачу, він зобов’язується проінформувати Споживача про його право: 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вибрати іншого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електропостачальника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про наслідки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невиконання цього;</w:t>
      </w:r>
    </w:p>
    <w:p w:rsidR="004475B5" w:rsidRDefault="00466DD5">
      <w:pPr>
        <w:spacing w:before="60" w:after="6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-перейти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електропостачальника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на якого в установленому порядку покладені спеціальні обов’язки (постачальник «останньої надії»);</w:t>
      </w:r>
    </w:p>
    <w:p w:rsidR="004475B5" w:rsidRDefault="00466DD5">
      <w:pPr>
        <w:spacing w:after="120" w:line="240" w:lineRule="auto"/>
        <w:ind w:right="-1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sz w:val="24"/>
          <w:lang w:val="uk-UA"/>
        </w:rPr>
        <w:t>) виконувати інші обов'язки, покладені на Постачальника чинним законодавством та/або цим Договором.</w:t>
      </w:r>
    </w:p>
    <w:p w:rsidR="004475B5" w:rsidRDefault="00466DD5">
      <w:pPr>
        <w:spacing w:before="120" w:after="120"/>
        <w:ind w:firstLine="709"/>
        <w:jc w:val="center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7</w:t>
      </w:r>
      <w:r>
        <w:rPr>
          <w:rFonts w:ascii="Times New Roman" w:hAnsi="Times New Roman"/>
          <w:b/>
          <w:sz w:val="27"/>
          <w:lang w:val="uk-UA"/>
        </w:rPr>
        <w:t xml:space="preserve">. </w:t>
      </w:r>
      <w:r>
        <w:rPr>
          <w:rFonts w:ascii="Times New Roman" w:hAnsi="Times New Roman"/>
          <w:b/>
          <w:sz w:val="27"/>
          <w:lang w:val="uk-UA"/>
        </w:rPr>
        <w:t>Порядок припинення та відновлення постачання електричної енергії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sz w:val="24"/>
          <w:lang w:val="uk-UA"/>
        </w:rPr>
        <w:t xml:space="preserve">.1. Постачальник має право звернутися до оператора системи з вимогою про відключення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об'єкта</w:t>
      </w:r>
      <w:r>
        <w:rPr>
          <w:rFonts w:ascii="Times New Roman" w:hAnsi="Times New Roman"/>
          <w:sz w:val="24"/>
          <w:lang w:val="uk-UA"/>
        </w:rPr>
        <w:t xml:space="preserve"> Споживача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електроживлення</w:t>
      </w:r>
      <w:r>
        <w:rPr>
          <w:rFonts w:ascii="Times New Roman" w:hAnsi="Times New Roman"/>
          <w:sz w:val="24"/>
          <w:lang w:val="uk-UA"/>
        </w:rPr>
        <w:t xml:space="preserve"> у випадку порушення Споживачем строків оплати 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спожиту електричну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енергію за </w:t>
      </w:r>
      <w:r>
        <w:rPr>
          <w:rFonts w:ascii="Times New Roman" w:hAnsi="Times New Roman"/>
          <w:sz w:val="24"/>
          <w:lang w:val="uk-UA"/>
        </w:rPr>
        <w:t>цим Договором, у тому числі за графіком погашення заборгованості.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sz w:val="24"/>
          <w:lang w:val="uk-UA"/>
        </w:rPr>
        <w:t xml:space="preserve">.2. Припинення електропостачання не звільняє Споживача від обов'язку сплатити заборгованість Постачальнику 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спожиту електричну енергію за </w:t>
      </w:r>
      <w:r>
        <w:rPr>
          <w:rFonts w:ascii="Times New Roman" w:hAnsi="Times New Roman"/>
          <w:sz w:val="24"/>
          <w:lang w:val="uk-UA"/>
        </w:rPr>
        <w:t>цим Договором.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7</w:t>
      </w:r>
      <w:r>
        <w:rPr>
          <w:rFonts w:ascii="Times New Roman" w:hAnsi="Times New Roman"/>
          <w:sz w:val="24"/>
          <w:lang w:val="uk-UA"/>
        </w:rPr>
        <w:t>.3. Відновлення поста</w:t>
      </w:r>
      <w:r>
        <w:rPr>
          <w:rFonts w:ascii="Times New Roman" w:hAnsi="Times New Roman"/>
          <w:sz w:val="24"/>
          <w:lang w:val="uk-UA"/>
        </w:rPr>
        <w:t xml:space="preserve">чання електричної енергії Споживачу може бути здійснено за умови повного розрахунку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Споживачем</w:t>
      </w:r>
      <w:r>
        <w:rPr>
          <w:rFonts w:ascii="Times New Roman" w:hAnsi="Times New Roman"/>
          <w:sz w:val="24"/>
          <w:lang w:val="uk-UA"/>
        </w:rPr>
        <w:t xml:space="preserve"> за спожиту електричну енергію за цим Договором або складення Сторонами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графіку</w:t>
      </w:r>
      <w:r>
        <w:rPr>
          <w:rFonts w:ascii="Times New Roman" w:hAnsi="Times New Roman"/>
          <w:sz w:val="24"/>
          <w:lang w:val="uk-UA"/>
        </w:rPr>
        <w:t xml:space="preserve"> погашення заборгованості на умовах цього Договору та відшкодування витрат Постачал</w:t>
      </w:r>
      <w:r>
        <w:rPr>
          <w:rFonts w:ascii="Times New Roman" w:hAnsi="Times New Roman"/>
          <w:sz w:val="24"/>
          <w:lang w:val="uk-UA"/>
        </w:rPr>
        <w:t>ьника 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заходи з</w:t>
      </w:r>
      <w:r>
        <w:rPr>
          <w:rFonts w:ascii="Times New Roman" w:hAnsi="Times New Roman"/>
          <w:sz w:val="24"/>
          <w:lang w:val="uk-UA"/>
        </w:rPr>
        <w:t xml:space="preserve"> припинення та відновлення постачання електричної енергії.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7.4. </w:t>
      </w:r>
      <w:r>
        <w:rPr>
          <w:rFonts w:ascii="Times New Roman" w:hAnsi="Times New Roman"/>
          <w:sz w:val="24"/>
          <w:szCs w:val="24"/>
          <w:lang w:val="uk-UA"/>
        </w:rPr>
        <w:t xml:space="preserve">Постачальник не несе відповідальність </w:t>
      </w:r>
      <w:r>
        <w:rPr>
          <w:rFonts w:ascii="Times New Roman" w:hAnsi="Times New Roman"/>
          <w:color w:val="292B2C"/>
          <w:sz w:val="24"/>
          <w:szCs w:val="24"/>
          <w:lang w:val="uk-UA"/>
        </w:rPr>
        <w:t>за можливі наслідки, пов'язані з обмеженням або припиненням електропостачання, яке здійснене у порядку, встановленому ПРРЕЕ та цим Догово</w:t>
      </w:r>
      <w:r>
        <w:rPr>
          <w:rFonts w:ascii="Times New Roman" w:hAnsi="Times New Roman"/>
          <w:color w:val="292B2C"/>
          <w:sz w:val="24"/>
          <w:szCs w:val="24"/>
          <w:lang w:val="uk-UA"/>
        </w:rPr>
        <w:t xml:space="preserve">ром. 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7.5.</w:t>
      </w:r>
      <w:r>
        <w:rPr>
          <w:rFonts w:ascii="Times New Roman" w:hAnsi="Times New Roman"/>
          <w:sz w:val="24"/>
          <w:lang w:val="uk-UA"/>
        </w:rPr>
        <w:t xml:space="preserve"> Якщо за ініціативою Споживача необхідно припинити постачання електричної енергії на об'єкт Споживача для проведення ремонтних робіт, реконструкції чи технічного переоснащення тощо, Споживач має звернутися до оператора системи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 поінформувати По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стачальника</w:t>
      </w:r>
      <w:r>
        <w:rPr>
          <w:rFonts w:ascii="Times New Roman" w:hAnsi="Times New Roman"/>
          <w:sz w:val="24"/>
          <w:lang w:val="uk-UA"/>
        </w:rPr>
        <w:t>.</w:t>
      </w:r>
    </w:p>
    <w:p w:rsidR="004475B5" w:rsidRDefault="00466DD5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8</w:t>
      </w:r>
      <w:r>
        <w:rPr>
          <w:rFonts w:ascii="Times New Roman" w:hAnsi="Times New Roman"/>
          <w:b/>
          <w:sz w:val="27"/>
          <w:lang w:val="uk-UA"/>
        </w:rPr>
        <w:t>. Відповідальність Сторін</w:t>
      </w:r>
    </w:p>
    <w:p w:rsidR="004475B5" w:rsidRDefault="00466DD5">
      <w:pPr>
        <w:spacing w:before="60" w:after="60" w:line="240" w:lineRule="auto"/>
        <w:ind w:right="-426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8.1. За невиконання або неналежне виконання своїх зобов'язань за цим Договором Сторони несуть відповідальність, передбачену цим Договором та чинним законодавством.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8.2. Постачальник має право вимагати від Споживача </w:t>
      </w:r>
      <w:r>
        <w:rPr>
          <w:rFonts w:ascii="Times New Roman" w:hAnsi="Times New Roman"/>
          <w:sz w:val="24"/>
          <w:lang w:val="uk-UA"/>
        </w:rPr>
        <w:t>відшкодування збитків, а Споживач відшкодовує збитки, понесені Постачальником, у разі: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1) порушення Споживачем строків розрахунків з Постачальником - в розмірі, погодженому Сторонами в цьому Договорі;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lang w:val="uk-UA"/>
        </w:rPr>
        <w:t xml:space="preserve">2) відмови Споживача надати представнику Постачальника </w:t>
      </w:r>
      <w:r>
        <w:rPr>
          <w:rFonts w:ascii="Times New Roman" w:hAnsi="Times New Roman"/>
          <w:sz w:val="24"/>
          <w:lang w:val="uk-UA"/>
        </w:rPr>
        <w:t>доступ до свого об'єкта, що завдало Постачальнику збитків, - в розмірі фактичних збитків Постачальника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3) в інших випадках, передбачених Договором та чинним законодавством України.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8.3. </w:t>
      </w:r>
      <w:r>
        <w:rPr>
          <w:rFonts w:ascii="Times New Roman" w:hAnsi="Times New Roman"/>
          <w:sz w:val="24"/>
          <w:lang w:val="uk-UA"/>
        </w:rPr>
        <w:t>Постачальник не відповідає за будь-які перебої у передачі або розподі</w:t>
      </w:r>
      <w:r>
        <w:rPr>
          <w:rFonts w:ascii="Times New Roman" w:hAnsi="Times New Roman"/>
          <w:sz w:val="24"/>
          <w:lang w:val="uk-UA"/>
        </w:rPr>
        <w:t xml:space="preserve">лі електричної енергії, які стосуються функціонування, обслуговування та/або розвитку системи передачі та/або системи електричної енергії, що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сталося</w:t>
      </w:r>
      <w:r>
        <w:rPr>
          <w:rFonts w:ascii="Times New Roman" w:hAnsi="Times New Roman"/>
          <w:sz w:val="24"/>
          <w:lang w:val="uk-UA"/>
        </w:rPr>
        <w:t xml:space="preserve"> з вини відповідального оператора системи.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8.4</w:t>
      </w:r>
      <w:r>
        <w:rPr>
          <w:rFonts w:ascii="Times New Roman" w:hAnsi="Times New Roman"/>
          <w:sz w:val="24"/>
          <w:lang w:val="uk-UA"/>
        </w:rPr>
        <w:t>. Порядок документального підтвердження порушень умов цього Д</w:t>
      </w:r>
      <w:r>
        <w:rPr>
          <w:rFonts w:ascii="Times New Roman" w:hAnsi="Times New Roman"/>
          <w:sz w:val="24"/>
          <w:lang w:val="uk-UA"/>
        </w:rPr>
        <w:t>оговору, а також відшкодування збитків встановлюється ПРРЕЕ.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8.5. Спірні питання щодо відшкодування Сторонами збитків та/або визначення їх розміру вирішуються у судовому порядку.</w:t>
      </w:r>
    </w:p>
    <w:p w:rsidR="004475B5" w:rsidRDefault="00466DD5">
      <w:pPr>
        <w:spacing w:before="100" w:beforeAutospacing="1" w:after="120" w:line="240" w:lineRule="auto"/>
        <w:ind w:firstLine="709"/>
        <w:jc w:val="center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9</w:t>
      </w:r>
      <w:r>
        <w:rPr>
          <w:rFonts w:ascii="Times New Roman" w:hAnsi="Times New Roman"/>
          <w:b/>
          <w:sz w:val="27"/>
          <w:lang w:val="uk-UA"/>
        </w:rPr>
        <w:t xml:space="preserve">. Порядок зміни </w:t>
      </w:r>
      <w:proofErr w:type="spellStart"/>
      <w:r>
        <w:rPr>
          <w:rFonts w:ascii="Times New Roman" w:hAnsi="Times New Roman"/>
          <w:b/>
          <w:sz w:val="27"/>
          <w:lang w:val="uk-UA"/>
        </w:rPr>
        <w:t>електропостачальника</w:t>
      </w:r>
      <w:proofErr w:type="spellEnd"/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9.1. Споживач має право в будь-який мом</w:t>
      </w:r>
      <w:r>
        <w:rPr>
          <w:rFonts w:ascii="Times New Roman" w:hAnsi="Times New Roman"/>
          <w:sz w:val="24"/>
          <w:szCs w:val="24"/>
          <w:lang w:val="uk-UA"/>
        </w:rPr>
        <w:t xml:space="preserve">ент часу змінити постачальника шляхом укладення нового договору про постачання електричної енергії з новим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повідомити Постачальника про свій намір не менше ніж як за 21 день до закінчення розрахункового періоду, вказавши дату або с</w:t>
      </w:r>
      <w:r>
        <w:rPr>
          <w:rFonts w:ascii="Times New Roman" w:hAnsi="Times New Roman"/>
          <w:sz w:val="24"/>
          <w:szCs w:val="24"/>
          <w:lang w:val="uk-UA"/>
        </w:rPr>
        <w:t>троки, в які буде відбуватись така зміна (початок дії нового договору про постачання електричної енергії), якщо інше не передбачено в комерційній пропозиції.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Зміна постачальника електричної енергії здійснюється згідно з порядком, встановленим ПРРЕЕ.</w:t>
      </w:r>
    </w:p>
    <w:p w:rsidR="004475B5" w:rsidRDefault="00466DD5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10</w:t>
      </w:r>
      <w:r>
        <w:rPr>
          <w:rFonts w:ascii="Times New Roman" w:hAnsi="Times New Roman"/>
          <w:b/>
          <w:sz w:val="27"/>
          <w:lang w:val="uk-UA"/>
        </w:rPr>
        <w:t>. Порядок розв'язання спорів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>
        <w:rPr>
          <w:rFonts w:ascii="Times New Roman" w:hAnsi="Times New Roman"/>
          <w:sz w:val="24"/>
          <w:lang w:val="uk-UA"/>
        </w:rPr>
        <w:t xml:space="preserve">.1. Спори та розбіжності, що можуть виникнути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із виконання</w:t>
      </w:r>
      <w:r>
        <w:rPr>
          <w:rFonts w:ascii="Times New Roman" w:hAnsi="Times New Roman"/>
          <w:sz w:val="24"/>
          <w:lang w:val="uk-UA"/>
        </w:rPr>
        <w:t xml:space="preserve"> умов цього Договору, у разі якщо вони не будуть узгоджені шляхом переговорів між Сторонами, можуть бути вирішенні шляхом звернення Споживача до Інформаційно-консуль</w:t>
      </w:r>
      <w:r>
        <w:rPr>
          <w:rFonts w:ascii="Times New Roman" w:hAnsi="Times New Roman"/>
          <w:sz w:val="24"/>
          <w:lang w:val="uk-UA"/>
        </w:rPr>
        <w:t>таційного центру по роботі із споживачами електричної енергії, що створюється Постачальником згідно з Положенням про Інформаційно-консультаційний центр по роботі із споживачами електричної енергії, затвердженим постановою Національної комісії регулювання е</w:t>
      </w:r>
      <w:r>
        <w:rPr>
          <w:rFonts w:ascii="Times New Roman" w:hAnsi="Times New Roman"/>
          <w:sz w:val="24"/>
          <w:lang w:val="uk-UA"/>
        </w:rPr>
        <w:t>лектроенергетики України від 12 березня 2009 року № 299, зареєстрованим в Міністерстві юстиції України 6 квітня 2009 року за № 308/16324 (із змінами) (далі - Положення про ІКЦ).</w:t>
      </w:r>
    </w:p>
    <w:p w:rsidR="004475B5" w:rsidRDefault="00466DD5">
      <w:pPr>
        <w:spacing w:before="60" w:after="60" w:line="240" w:lineRule="auto"/>
        <w:ind w:right="-427"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Під час вирішення спорів Сторони мають керуватися порядком врегулювання спорів</w:t>
      </w:r>
      <w:r>
        <w:rPr>
          <w:rFonts w:ascii="Times New Roman" w:hAnsi="Times New Roman"/>
          <w:sz w:val="24"/>
          <w:lang w:val="uk-UA"/>
        </w:rPr>
        <w:t xml:space="preserve">, встановленим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цими </w:t>
      </w:r>
      <w:r>
        <w:rPr>
          <w:rFonts w:ascii="Times New Roman" w:hAnsi="Times New Roman"/>
          <w:sz w:val="24"/>
          <w:lang w:val="uk-UA"/>
        </w:rPr>
        <w:t>ПРРЕЕ та Положенням про ІКЦ.</w:t>
      </w:r>
    </w:p>
    <w:p w:rsidR="004475B5" w:rsidRDefault="00466DD5">
      <w:pPr>
        <w:spacing w:before="60" w:after="60" w:line="240" w:lineRule="auto"/>
        <w:ind w:right="-427"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10.2.  У разі недосягнення між Сторонами згоди шляхом проведення переговорів або у разі незгоди Споживача із рішенням ІКЦ чи неотримання ним у встановлені  ПРРЕЕ та Положенням про ІКЦ строки відповіді Спожив</w:t>
      </w:r>
      <w:r>
        <w:rPr>
          <w:rFonts w:ascii="Times New Roman" w:hAnsi="Times New Roman"/>
          <w:sz w:val="24"/>
          <w:lang w:val="uk-UA"/>
        </w:rPr>
        <w:t>ач має право звернутися із заявою про вирішення спору до Регулятора чи його територіального підрозділу та/або до енергетичного омбудсмена, центрального органу виконавчої влади, що забезпечує формування державної політики у сфері нагляду (контролю) в галузі</w:t>
      </w:r>
      <w:r>
        <w:rPr>
          <w:rFonts w:ascii="Times New Roman" w:hAnsi="Times New Roman"/>
          <w:sz w:val="24"/>
          <w:lang w:val="uk-UA"/>
        </w:rPr>
        <w:t xml:space="preserve"> електроенергетики (або забезпечує формування та реалізує державну політику в електроенергетичному комплексі), Антимонопольного комітету України.</w:t>
      </w:r>
    </w:p>
    <w:p w:rsidR="004475B5" w:rsidRDefault="00466DD5">
      <w:pPr>
        <w:spacing w:before="60" w:after="60" w:line="240" w:lineRule="auto"/>
        <w:ind w:right="-42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Врегулювання спорів Регулятором чи його територіальним підрозділом здійснюється відповідно до затвердженого </w:t>
      </w:r>
      <w:r>
        <w:rPr>
          <w:rFonts w:ascii="Times New Roman" w:hAnsi="Times New Roman"/>
          <w:sz w:val="24"/>
          <w:lang w:val="uk-UA"/>
        </w:rPr>
        <w:t>Регулятором порядку. Звернення Споживача до Регулятора чи його територіального підрозділу не позбавляє Сторони права щодо вирішення спору в судовому порядку.</w:t>
      </w:r>
    </w:p>
    <w:p w:rsidR="004475B5" w:rsidRDefault="00466DD5">
      <w:pPr>
        <w:spacing w:before="60" w:after="60" w:line="240" w:lineRule="auto"/>
        <w:ind w:right="-1"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10.3. У разі неможливості вирішити спірні питання та інші розбіжності шляхом переговорів, Сторони </w:t>
      </w:r>
      <w:r>
        <w:rPr>
          <w:rFonts w:ascii="Times New Roman" w:hAnsi="Times New Roman"/>
          <w:sz w:val="24"/>
          <w:lang w:val="uk-UA"/>
        </w:rPr>
        <w:t>можуть передати спір на розгляд суду.</w:t>
      </w:r>
    </w:p>
    <w:p w:rsidR="004475B5" w:rsidRDefault="00466DD5">
      <w:pPr>
        <w:spacing w:before="240" w:after="120" w:line="240" w:lineRule="auto"/>
        <w:jc w:val="center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11.</w:t>
      </w:r>
      <w:r>
        <w:rPr>
          <w:rFonts w:ascii="Times New Roman" w:hAnsi="Times New Roman"/>
          <w:b/>
          <w:sz w:val="27"/>
          <w:lang w:val="uk-UA"/>
        </w:rPr>
        <w:t xml:space="preserve"> Форс-мажорні обставини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sz w:val="24"/>
          <w:lang w:val="uk-UA"/>
        </w:rPr>
        <w:t>.1. Сторони звільняються від відповідальності за часткове або повне невиконання зобов'язань за цим Договором, якщо це невиконання є наслідком непереборної сили (форс-мажорних обставин).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>2. Під форс-мажорними обставинами розуміють надзвичайні та невідворотні обставини, що об'єктивно унеможливлюють виконання зобов'язань, передбачених умовами цього Договору.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sz w:val="24"/>
          <w:lang w:val="uk-UA"/>
        </w:rPr>
        <w:t>.3. Строк виконання зобов'язань за цим Договором відкладається на строк дії форс-м</w:t>
      </w:r>
      <w:r>
        <w:rPr>
          <w:rFonts w:ascii="Times New Roman" w:hAnsi="Times New Roman"/>
          <w:sz w:val="24"/>
          <w:lang w:val="uk-UA"/>
        </w:rPr>
        <w:t>ажорних обставин.</w:t>
      </w:r>
    </w:p>
    <w:p w:rsidR="004475B5" w:rsidRDefault="00466DD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>
        <w:rPr>
          <w:rFonts w:ascii="Times New Roman" w:hAnsi="Times New Roman"/>
          <w:sz w:val="24"/>
          <w:lang w:val="uk-UA"/>
        </w:rPr>
        <w:t xml:space="preserve">.4. Сторони зобов'язані негайно повідомити про форс-мажорні обставини та протягом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14</w:t>
      </w:r>
      <w:r>
        <w:rPr>
          <w:rFonts w:ascii="Times New Roman" w:hAnsi="Times New Roman"/>
          <w:sz w:val="24"/>
          <w:lang w:val="uk-UA"/>
        </w:rPr>
        <w:t xml:space="preserve"> днів з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дати</w:t>
      </w:r>
      <w:r>
        <w:rPr>
          <w:rFonts w:ascii="Times New Roman" w:hAnsi="Times New Roman"/>
          <w:sz w:val="24"/>
          <w:lang w:val="uk-UA"/>
        </w:rPr>
        <w:t xml:space="preserve"> їх виникнення надати підтверджуючі документи щодо їх настання відповідно 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чинного </w:t>
      </w:r>
      <w:r>
        <w:rPr>
          <w:rFonts w:ascii="Times New Roman" w:hAnsi="Times New Roman"/>
          <w:sz w:val="24"/>
          <w:lang w:val="uk-UA"/>
        </w:rPr>
        <w:t>законодавства.</w:t>
      </w:r>
    </w:p>
    <w:p w:rsidR="004475B5" w:rsidRDefault="00466DD5">
      <w:pPr>
        <w:spacing w:before="60" w:after="60" w:line="240" w:lineRule="auto"/>
        <w:ind w:firstLine="709"/>
        <w:jc w:val="both"/>
      </w:pPr>
      <w:r>
        <w:rPr>
          <w:rFonts w:ascii="Times New Roman" w:hAnsi="Times New Roman"/>
          <w:sz w:val="24"/>
          <w:lang w:val="uk-UA"/>
        </w:rPr>
        <w:t xml:space="preserve">11.5. Виникнення форс-мажорних обставин </w:t>
      </w:r>
      <w:r>
        <w:rPr>
          <w:rFonts w:ascii="Times New Roman" w:hAnsi="Times New Roman"/>
          <w:sz w:val="24"/>
          <w:lang w:val="uk-UA"/>
        </w:rPr>
        <w:t>не є підставою для відмови Споживача від сплати Постачальнику за електричну енергію, яка була надана до їх виникнення</w:t>
      </w:r>
      <w:r>
        <w:t>.</w:t>
      </w:r>
    </w:p>
    <w:p w:rsidR="004475B5" w:rsidRDefault="00466DD5">
      <w:pPr>
        <w:spacing w:before="240" w:after="120" w:line="240" w:lineRule="auto"/>
        <w:jc w:val="center"/>
        <w:outlineLvl w:val="2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12. </w:t>
      </w:r>
      <w:r>
        <w:rPr>
          <w:rFonts w:ascii="Times New Roman" w:hAnsi="Times New Roman"/>
          <w:b/>
          <w:sz w:val="27"/>
          <w:lang w:val="uk-UA"/>
        </w:rPr>
        <w:t>Строк дії Договору та інші умови</w:t>
      </w:r>
    </w:p>
    <w:p w:rsidR="004475B5" w:rsidRDefault="00466DD5">
      <w:pPr>
        <w:pStyle w:val="a7"/>
        <w:tabs>
          <w:tab w:val="clear" w:pos="2410"/>
          <w:tab w:val="left" w:pos="0"/>
          <w:tab w:val="left" w:pos="142"/>
        </w:tabs>
        <w:spacing w:before="60" w:after="60"/>
        <w:ind w:firstLine="709"/>
        <w:rPr>
          <w:sz w:val="24"/>
        </w:rPr>
      </w:pPr>
      <w:r>
        <w:rPr>
          <w:sz w:val="24"/>
          <w:szCs w:val="24"/>
        </w:rPr>
        <w:t>12</w:t>
      </w:r>
      <w:r>
        <w:rPr>
          <w:sz w:val="24"/>
        </w:rPr>
        <w:t xml:space="preserve">.1. Цей Договір набирає чинності з </w:t>
      </w:r>
      <w:r>
        <w:rPr>
          <w:sz w:val="24"/>
          <w:szCs w:val="24"/>
        </w:rPr>
        <w:t xml:space="preserve">дати його підписання Сторонами та діє до </w:t>
      </w:r>
    </w:p>
    <w:p w:rsidR="004475B5" w:rsidRDefault="00466DD5">
      <w:pPr>
        <w:pStyle w:val="a7"/>
        <w:tabs>
          <w:tab w:val="clear" w:pos="2410"/>
          <w:tab w:val="left" w:pos="0"/>
          <w:tab w:val="left" w:pos="142"/>
        </w:tabs>
        <w:spacing w:before="60" w:after="60"/>
        <w:ind w:firstLine="1"/>
        <w:rPr>
          <w:sz w:val="24"/>
        </w:rPr>
      </w:pPr>
      <w:r>
        <w:rPr>
          <w:sz w:val="24"/>
          <w:szCs w:val="24"/>
        </w:rPr>
        <w:t>31 грудня 2022 р.,</w:t>
      </w:r>
      <w:r>
        <w:t xml:space="preserve"> </w:t>
      </w:r>
      <w:r>
        <w:rPr>
          <w:sz w:val="24"/>
          <w:szCs w:val="24"/>
        </w:rPr>
        <w:t>якщо інше не встановлено комерційною пропозицією, а</w:t>
      </w:r>
      <w:r>
        <w:rPr>
          <w:sz w:val="24"/>
        </w:rPr>
        <w:t xml:space="preserve"> в частині </w:t>
      </w:r>
      <w:r>
        <w:rPr>
          <w:sz w:val="24"/>
          <w:szCs w:val="24"/>
        </w:rPr>
        <w:t xml:space="preserve">проведення розрахунків – до </w:t>
      </w:r>
      <w:r>
        <w:rPr>
          <w:sz w:val="24"/>
        </w:rPr>
        <w:t xml:space="preserve">повного виконання </w:t>
      </w:r>
      <w:r>
        <w:rPr>
          <w:sz w:val="24"/>
          <w:szCs w:val="24"/>
        </w:rPr>
        <w:t xml:space="preserve">Сторонами своїх зобов’язань за Договором. </w:t>
      </w:r>
    </w:p>
    <w:p w:rsidR="004475B5" w:rsidRDefault="00466DD5">
      <w:pPr>
        <w:pStyle w:val="a7"/>
        <w:tabs>
          <w:tab w:val="clear" w:pos="2410"/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12.2. Відповідно до частини 6 статті 41 Закону України «Про публічні закупівлі» дія Договору може продовж</w:t>
      </w:r>
      <w:r>
        <w:rPr>
          <w:sz w:val="24"/>
          <w:szCs w:val="24"/>
        </w:rPr>
        <w:t xml:space="preserve">уватися на строк, достатній для проведення процедури закупівлі/ спрощеної закупівлі на початку наступного року в обсязі, що не перевищує 20% суми, визначеної у цьому Договорі, якщо видатки на досягнення цієї цілі затверджено в установленому порядку. 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12.3.</w:t>
      </w:r>
      <w:r>
        <w:rPr>
          <w:sz w:val="24"/>
          <w:szCs w:val="24"/>
        </w:rPr>
        <w:t xml:space="preserve">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ст. 41 Закону України «Про публічні закупівлі»: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Зменшення обсягів закупівлі, зокрема з урахуванням фак</w:t>
      </w:r>
      <w:r>
        <w:rPr>
          <w:sz w:val="24"/>
          <w:szCs w:val="24"/>
        </w:rPr>
        <w:t>тичного обсягу видатків Споживача.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Збільшення ціни за одиницю товару до 10 відсотків </w:t>
      </w:r>
      <w:proofErr w:type="spellStart"/>
      <w:r>
        <w:rPr>
          <w:sz w:val="24"/>
          <w:szCs w:val="24"/>
        </w:rPr>
        <w:t>пропорційно</w:t>
      </w:r>
      <w:proofErr w:type="spellEnd"/>
      <w:r>
        <w:rPr>
          <w:sz w:val="24"/>
          <w:szCs w:val="24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</w:t>
      </w:r>
      <w:r>
        <w:rPr>
          <w:sz w:val="24"/>
          <w:szCs w:val="24"/>
        </w:rPr>
        <w:t>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</w:t>
      </w:r>
      <w:r>
        <w:rPr>
          <w:sz w:val="24"/>
          <w:szCs w:val="24"/>
        </w:rPr>
        <w:t xml:space="preserve">лектричної енергії. 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Покращення якості предмета закупівлі, за умови що таке покращення не призведе до збільшення суми, визначеної в договорі про закупівлю.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Продовження строку дії договору про закупівлю та строку виконання зобов’язань щодо передачі товару, </w:t>
      </w:r>
      <w:r>
        <w:rPr>
          <w:sz w:val="24"/>
          <w:szCs w:val="24"/>
        </w:rPr>
        <w:t>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</w:t>
      </w:r>
      <w:r>
        <w:rPr>
          <w:sz w:val="24"/>
          <w:szCs w:val="24"/>
        </w:rPr>
        <w:t>льшення суми, визначеної в договорі про закупівлю.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ринку. 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Зміни ціни в договорі </w:t>
      </w:r>
      <w:r>
        <w:rPr>
          <w:sz w:val="24"/>
          <w:szCs w:val="24"/>
        </w:rPr>
        <w:t xml:space="preserve">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sz w:val="24"/>
          <w:szCs w:val="24"/>
        </w:rPr>
        <w:t>пропорційно</w:t>
      </w:r>
      <w:proofErr w:type="spellEnd"/>
      <w:r>
        <w:rPr>
          <w:sz w:val="24"/>
          <w:szCs w:val="24"/>
        </w:rPr>
        <w:t xml:space="preserve"> до зміни таких ставок та/або пільг з оподаткування.</w:t>
      </w:r>
    </w:p>
    <w:p w:rsidR="004475B5" w:rsidRDefault="00466DD5">
      <w:pPr>
        <w:pStyle w:val="a7"/>
        <w:tabs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Зміни встановленого згідно із законодавством органами державної статистики ін</w:t>
      </w:r>
      <w:r>
        <w:rPr>
          <w:sz w:val="24"/>
          <w:szCs w:val="24"/>
        </w:rPr>
        <w:t xml:space="preserve">дексу споживчих цін, зміни курсу іноземної валюти, зміни біржових котирувань або показників </w:t>
      </w:r>
      <w:proofErr w:type="spellStart"/>
      <w:r>
        <w:rPr>
          <w:sz w:val="24"/>
          <w:szCs w:val="24"/>
        </w:rPr>
        <w:t>Platts</w:t>
      </w:r>
      <w:proofErr w:type="spellEnd"/>
      <w:r>
        <w:rPr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4475B5" w:rsidRDefault="00466DD5">
      <w:pPr>
        <w:pStyle w:val="a7"/>
        <w:tabs>
          <w:tab w:val="clear" w:pos="2410"/>
          <w:tab w:val="left" w:pos="0"/>
          <w:tab w:val="left" w:pos="142"/>
        </w:tabs>
        <w:spacing w:before="60" w:after="60"/>
        <w:ind w:firstLine="709"/>
        <w:rPr>
          <w:sz w:val="24"/>
          <w:szCs w:val="24"/>
        </w:rPr>
      </w:pPr>
      <w:r>
        <w:rPr>
          <w:sz w:val="24"/>
          <w:szCs w:val="24"/>
        </w:rPr>
        <w:t>У разі зміни регульованих цін (тарифів), які враховуються при розрахунку ціни на електричну енергію Постачальник здійснює коригування шляхом збільшення/зменшення відповідної регульованої складової з дати її введення в дію на підставі відповідних постанов Н</w:t>
      </w:r>
      <w:r>
        <w:rPr>
          <w:sz w:val="24"/>
          <w:szCs w:val="24"/>
        </w:rPr>
        <w:t>КРЕКП.</w:t>
      </w:r>
    </w:p>
    <w:p w:rsidR="004475B5" w:rsidRDefault="00466D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12.5. У разі необхідності внесення змін та доповнень до цього Договору кожна із Сторін має право звернутися до іншої з відповідною пропозицією. Якщо ці пропозиції викликані прийняттям нормативно-правових актів, які змінюють умови цього Договору, Сто</w:t>
      </w:r>
      <w:r>
        <w:rPr>
          <w:rFonts w:ascii="Times New Roman" w:hAnsi="Times New Roman"/>
          <w:sz w:val="24"/>
          <w:szCs w:val="24"/>
          <w:lang w:val="uk-UA"/>
        </w:rPr>
        <w:t>рони зобов’язуються до внесення відповідних змін до Договору керуватися вимогами цих нормативних документів.</w:t>
      </w:r>
    </w:p>
    <w:p w:rsidR="004475B5" w:rsidRDefault="00466DD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Сторони зобов’язуються письмово</w:t>
      </w:r>
      <w:r>
        <w:rPr>
          <w:rFonts w:ascii="Times New Roman" w:hAnsi="Times New Roman"/>
          <w:sz w:val="24"/>
          <w:lang w:val="uk-UA"/>
        </w:rPr>
        <w:t xml:space="preserve"> повідомити про зміну будь-яких </w:t>
      </w:r>
      <w:r>
        <w:rPr>
          <w:rFonts w:ascii="Times New Roman" w:hAnsi="Times New Roman"/>
          <w:sz w:val="24"/>
          <w:szCs w:val="24"/>
          <w:lang w:val="uk-UA"/>
        </w:rPr>
        <w:t>реквізитів (місцезнаходження, найменування, організаційно-правової форми, банківськи</w:t>
      </w:r>
      <w:r>
        <w:rPr>
          <w:rFonts w:ascii="Times New Roman" w:hAnsi="Times New Roman"/>
          <w:sz w:val="24"/>
          <w:szCs w:val="24"/>
          <w:lang w:val="uk-UA"/>
        </w:rPr>
        <w:t>х реквізитів тощо) не пізніше ніж через 10 днів після настання</w:t>
      </w:r>
      <w:r>
        <w:rPr>
          <w:rFonts w:ascii="Times New Roman" w:hAnsi="Times New Roman"/>
          <w:sz w:val="24"/>
          <w:lang w:val="uk-UA"/>
        </w:rPr>
        <w:t xml:space="preserve"> таких </w:t>
      </w:r>
      <w:r>
        <w:rPr>
          <w:rFonts w:ascii="Times New Roman" w:hAnsi="Times New Roman"/>
          <w:sz w:val="24"/>
          <w:szCs w:val="24"/>
          <w:lang w:val="uk-UA"/>
        </w:rPr>
        <w:t xml:space="preserve">змін. </w:t>
      </w:r>
    </w:p>
    <w:p w:rsidR="004475B5" w:rsidRDefault="00466D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Таке п</w:t>
      </w:r>
      <w:r>
        <w:rPr>
          <w:rFonts w:ascii="Times New Roman" w:hAnsi="Times New Roman"/>
          <w:sz w:val="24"/>
          <w:lang w:val="uk-UA"/>
        </w:rPr>
        <w:t>овідомлення</w:t>
      </w:r>
      <w:r>
        <w:rPr>
          <w:rFonts w:ascii="Times New Roman" w:hAnsi="Times New Roman"/>
          <w:sz w:val="24"/>
          <w:szCs w:val="24"/>
          <w:lang w:val="uk-UA"/>
        </w:rPr>
        <w:t xml:space="preserve">, підписане уповноваженою особою Сторони, є додатком до цього Договору, та не потребує обов′язкового оформлення Додаткової угоди та її двостороннього підписання. </w:t>
      </w:r>
    </w:p>
    <w:p w:rsidR="004475B5" w:rsidRDefault="00466D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12.6. Усі правовідносини, що виникають у зв’язку з виконанням умов цього Договору і не врегульовані ним, регламентуються нормами чинного законодавства України.</w:t>
      </w:r>
    </w:p>
    <w:p w:rsidR="004475B5" w:rsidRDefault="00466D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12.7. Цей Договір укладено у двох примірниках, які мають однакову юридичну силу, один з яких збе</w:t>
      </w:r>
      <w:r>
        <w:rPr>
          <w:rFonts w:ascii="Times New Roman" w:hAnsi="Times New Roman"/>
          <w:sz w:val="24"/>
          <w:szCs w:val="24"/>
          <w:lang w:val="uk-UA"/>
        </w:rPr>
        <w:t>рігається у Постачальника, другий у Споживача.</w:t>
      </w:r>
    </w:p>
    <w:p w:rsidR="004475B5" w:rsidRDefault="00466D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12.8. Невід’ємною частиною цього Договору є всі Додатки та Додаткові угоди.</w:t>
      </w:r>
    </w:p>
    <w:p w:rsidR="004475B5" w:rsidRDefault="004475B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5B5" w:rsidRDefault="00466DD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7"/>
          <w:lang w:val="uk-UA"/>
        </w:rPr>
      </w:pPr>
      <w:r>
        <w:rPr>
          <w:rFonts w:ascii="Times New Roman" w:hAnsi="Times New Roman"/>
          <w:b/>
          <w:sz w:val="27"/>
          <w:lang w:val="uk-UA"/>
        </w:rPr>
        <w:t>13.</w:t>
      </w:r>
      <w:r>
        <w:rPr>
          <w:rFonts w:ascii="Times New Roman" w:hAnsi="Times New Roman"/>
          <w:b/>
          <w:sz w:val="27"/>
          <w:lang w:val="uk-UA"/>
        </w:rPr>
        <w:tab/>
        <w:t>МІСЦЕЗНАХОДЖЕННЯ ТА БАНКІВСЬКІ РЕКВІЗИТИ СТОРІН: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Постачальник: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Споживач: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_______________________________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_______________________________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.: 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.:___________________________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_______________________________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(підпис, П. І. Б.)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(підпис, П. І. Б.)</w:t>
      </w:r>
    </w:p>
    <w:p w:rsidR="004475B5" w:rsidRDefault="00466DD5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____________ 20__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____________ 20__ року</w:t>
      </w:r>
    </w:p>
    <w:p w:rsidR="004475B5" w:rsidRDefault="00466DD5">
      <w:pPr>
        <w:spacing w:after="0" w:line="240" w:lineRule="auto"/>
        <w:ind w:left="7212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4</w:t>
      </w:r>
    </w:p>
    <w:p w:rsidR="004475B5" w:rsidRDefault="00466DD5">
      <w:pPr>
        <w:spacing w:after="24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ФОРМА «ЦІНОВА ПРОПОЗИЦІЯ»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Ми, (назва Учасника),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надаємо свою пропозицію щодо участі у спрощеній закупівлі товару – Електрична енергія – за кодом СРV за ДК 021:2015 - 09310000-5 (Електрична енергія) згідно з технічними та іншими вимогами Замовника спрощеної закупівлі.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Вивчивши всі вимоги Замовника, на ви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конання зазначеного вище, ми, уповноважені на підписання Договору, маємо можливість та погоджуємося виконати всі вимоги Замовника та Договору на умовах, зазначених у пропозиції за наступною ціною:</w:t>
      </w:r>
    </w:p>
    <w:tbl>
      <w:tblPr>
        <w:tblW w:w="10017" w:type="dxa"/>
        <w:tblInd w:w="10" w:type="dxa"/>
        <w:tblLook w:val="0000" w:firstRow="0" w:lastRow="0" w:firstColumn="0" w:lastColumn="0" w:noHBand="0" w:noVBand="0"/>
      </w:tblPr>
      <w:tblGrid>
        <w:gridCol w:w="343"/>
        <w:gridCol w:w="3312"/>
        <w:gridCol w:w="1287"/>
        <w:gridCol w:w="1265"/>
        <w:gridCol w:w="1845"/>
        <w:gridCol w:w="1965"/>
      </w:tblGrid>
      <w:tr w:rsidR="004475B5">
        <w:trPr>
          <w:trHeight w:val="91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5B5" w:rsidRDefault="00466DD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5B5" w:rsidRDefault="00466DD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</w:p>
          <w:p w:rsidR="004475B5" w:rsidRDefault="00466DD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товару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5B5" w:rsidRDefault="00466DD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Одиниці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5B5" w:rsidRDefault="00466DD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5B5" w:rsidRDefault="00466DD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іна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одиницю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  <w:r>
              <w:rPr>
                <w:b/>
              </w:rPr>
              <w:t>, (грн.</w:t>
            </w:r>
            <w:proofErr w:type="spellStart"/>
            <w:r>
              <w:rPr>
                <w:b/>
                <w:lang w:val="uk-UA"/>
              </w:rPr>
              <w:t>бе</w:t>
            </w:r>
            <w:proofErr w:type="spellEnd"/>
            <w:r>
              <w:rPr>
                <w:b/>
              </w:rPr>
              <w:t>з ПДВ)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5B5" w:rsidRDefault="00466DD5">
            <w:pPr>
              <w:pStyle w:val="a3"/>
              <w:spacing w:before="0" w:beforeAutospacing="0" w:after="0" w:afterAutospacing="0"/>
              <w:rPr>
                <w:lang w:eastAsia="uk-UA"/>
              </w:rPr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, (грн. </w:t>
            </w:r>
            <w:r>
              <w:rPr>
                <w:b/>
                <w:lang w:val="uk-UA"/>
              </w:rPr>
              <w:t>без</w:t>
            </w:r>
            <w:r>
              <w:rPr>
                <w:b/>
              </w:rPr>
              <w:t xml:space="preserve"> ПДВ)</w:t>
            </w:r>
          </w:p>
        </w:tc>
      </w:tr>
      <w:tr w:rsidR="004475B5">
        <w:trPr>
          <w:trHeight w:val="495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475B5">
        <w:tc>
          <w:tcPr>
            <w:tcW w:w="805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right"/>
              <w:rPr>
                <w:sz w:val="22"/>
                <w:szCs w:val="22"/>
              </w:rPr>
            </w:pPr>
          </w:p>
          <w:p w:rsidR="004475B5" w:rsidRDefault="00466DD5">
            <w:pPr>
              <w:pStyle w:val="a6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ПДВ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475B5">
        <w:tc>
          <w:tcPr>
            <w:tcW w:w="805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right"/>
              <w:rPr>
                <w:sz w:val="22"/>
                <w:szCs w:val="22"/>
              </w:rPr>
            </w:pPr>
          </w:p>
          <w:p w:rsidR="004475B5" w:rsidRDefault="00466DD5">
            <w:pPr>
              <w:pStyle w:val="a6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Загальна вартість пропозиції грн з ПДВ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75B5" w:rsidRDefault="004475B5">
            <w:pPr>
              <w:pStyle w:val="a6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загальної ціни включено тариф на оплату за послугу з розподілу та передачі електричної енергії.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До прийняття рішення про намір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визнана найбільш економічно вигідною, ми візьмемо на себе зобов'язання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виконати всі умови, передбачені Договором.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Ми погоджуємося дотримуватися умов цієї пропозиції протягом 90 днів з дати розкриття пропозицій, встановленої Вами.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 Ми погоджуємося з умовами, що Ви можете відхилити нашу чи всі пропозиції згідно з умовами 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голошення, та розуміємо, що Ви не обмежені у прийнятті будь-якої іншої пропозиції з більш вигідними для Вас умовами.</w:t>
      </w:r>
    </w:p>
    <w:p w:rsidR="004475B5" w:rsidRDefault="00466DD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 Якщо наша пропозиція буде визнана найбільш економічно вигідною та при визнанні нас переможцем спрощеної закупівлі, ми зобов'язуємося під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писати Договір із Замовником не пізніше ніж через 20 днів з дня прийняття рішення про намір укласти Договір про закупівлю.</w:t>
      </w: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475B5" w:rsidRDefault="004475B5">
      <w:pPr>
        <w:spacing w:after="0" w:line="240" w:lineRule="auto"/>
        <w:ind w:left="7212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4475B5">
      <w:pgSz w:w="11906" w:h="16838"/>
      <w:pgMar w:top="850" w:right="850" w:bottom="850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A8"/>
    <w:multiLevelType w:val="hybridMultilevel"/>
    <w:tmpl w:val="774ABE3C"/>
    <w:name w:val="Нумерованный список 5"/>
    <w:lvl w:ilvl="0" w:tplc="8E5CDF78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AE98729C">
      <w:start w:val="1"/>
      <w:numFmt w:val="lowerLetter"/>
      <w:lvlText w:val="%2."/>
      <w:lvlJc w:val="left"/>
      <w:pPr>
        <w:ind w:left="1080" w:firstLine="0"/>
      </w:pPr>
    </w:lvl>
    <w:lvl w:ilvl="2" w:tplc="2F8EA594">
      <w:start w:val="1"/>
      <w:numFmt w:val="lowerRoman"/>
      <w:lvlText w:val="%3."/>
      <w:lvlJc w:val="left"/>
      <w:pPr>
        <w:ind w:left="1980" w:firstLine="0"/>
      </w:pPr>
    </w:lvl>
    <w:lvl w:ilvl="3" w:tplc="C88AFB68">
      <w:start w:val="1"/>
      <w:numFmt w:val="decimal"/>
      <w:lvlText w:val="%4."/>
      <w:lvlJc w:val="left"/>
      <w:pPr>
        <w:ind w:left="2520" w:firstLine="0"/>
      </w:pPr>
    </w:lvl>
    <w:lvl w:ilvl="4" w:tplc="664E3080">
      <w:start w:val="1"/>
      <w:numFmt w:val="lowerLetter"/>
      <w:lvlText w:val="%5."/>
      <w:lvlJc w:val="left"/>
      <w:pPr>
        <w:ind w:left="3240" w:firstLine="0"/>
      </w:pPr>
    </w:lvl>
    <w:lvl w:ilvl="5" w:tplc="1D9C478C">
      <w:start w:val="1"/>
      <w:numFmt w:val="lowerRoman"/>
      <w:lvlText w:val="%6."/>
      <w:lvlJc w:val="left"/>
      <w:pPr>
        <w:ind w:left="4140" w:firstLine="0"/>
      </w:pPr>
    </w:lvl>
    <w:lvl w:ilvl="6" w:tplc="424CCC5A">
      <w:start w:val="1"/>
      <w:numFmt w:val="decimal"/>
      <w:lvlText w:val="%7."/>
      <w:lvlJc w:val="left"/>
      <w:pPr>
        <w:ind w:left="4680" w:firstLine="0"/>
      </w:pPr>
    </w:lvl>
    <w:lvl w:ilvl="7" w:tplc="47D659B8">
      <w:start w:val="1"/>
      <w:numFmt w:val="lowerLetter"/>
      <w:lvlText w:val="%8."/>
      <w:lvlJc w:val="left"/>
      <w:pPr>
        <w:ind w:left="5400" w:firstLine="0"/>
      </w:pPr>
    </w:lvl>
    <w:lvl w:ilvl="8" w:tplc="818445F2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11D7600"/>
    <w:multiLevelType w:val="hybridMultilevel"/>
    <w:tmpl w:val="5114DD4A"/>
    <w:name w:val="Нумерованный список 8"/>
    <w:lvl w:ilvl="0" w:tplc="01F8082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72662D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E7274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01802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2D4485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630C0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676FB9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42CC79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86677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07B256AB"/>
    <w:multiLevelType w:val="hybridMultilevel"/>
    <w:tmpl w:val="41DC0D86"/>
    <w:name w:val="Нумерованный список 2"/>
    <w:lvl w:ilvl="0" w:tplc="1BAE5D96"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E1E80CF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5B3A303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12D4B69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BB8E40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13A87FC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7910CF0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90FECD1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13E122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>
    <w:nsid w:val="2E2A4274"/>
    <w:multiLevelType w:val="hybridMultilevel"/>
    <w:tmpl w:val="424E1A6A"/>
    <w:name w:val="Нумерованный список 7"/>
    <w:lvl w:ilvl="0" w:tplc="976A33F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DB5C15CE">
      <w:start w:val="1"/>
      <w:numFmt w:val="lowerLetter"/>
      <w:lvlText w:val="%2."/>
      <w:lvlJc w:val="left"/>
      <w:pPr>
        <w:ind w:left="1080" w:firstLine="0"/>
      </w:pPr>
    </w:lvl>
    <w:lvl w:ilvl="2" w:tplc="F872CF7A">
      <w:start w:val="1"/>
      <w:numFmt w:val="lowerRoman"/>
      <w:lvlText w:val="%3."/>
      <w:lvlJc w:val="left"/>
      <w:pPr>
        <w:ind w:left="1980" w:firstLine="0"/>
      </w:pPr>
    </w:lvl>
    <w:lvl w:ilvl="3" w:tplc="1414C54C">
      <w:start w:val="1"/>
      <w:numFmt w:val="decimal"/>
      <w:lvlText w:val="%4."/>
      <w:lvlJc w:val="left"/>
      <w:pPr>
        <w:ind w:left="2520" w:firstLine="0"/>
      </w:pPr>
    </w:lvl>
    <w:lvl w:ilvl="4" w:tplc="7A2E934C">
      <w:start w:val="1"/>
      <w:numFmt w:val="lowerLetter"/>
      <w:lvlText w:val="%5."/>
      <w:lvlJc w:val="left"/>
      <w:pPr>
        <w:ind w:left="3240" w:firstLine="0"/>
      </w:pPr>
    </w:lvl>
    <w:lvl w:ilvl="5" w:tplc="34528FEA">
      <w:start w:val="1"/>
      <w:numFmt w:val="lowerRoman"/>
      <w:lvlText w:val="%6."/>
      <w:lvlJc w:val="left"/>
      <w:pPr>
        <w:ind w:left="4140" w:firstLine="0"/>
      </w:pPr>
    </w:lvl>
    <w:lvl w:ilvl="6" w:tplc="95F8B5F4">
      <w:start w:val="1"/>
      <w:numFmt w:val="decimal"/>
      <w:lvlText w:val="%7."/>
      <w:lvlJc w:val="left"/>
      <w:pPr>
        <w:ind w:left="4680" w:firstLine="0"/>
      </w:pPr>
    </w:lvl>
    <w:lvl w:ilvl="7" w:tplc="F4E808B0">
      <w:start w:val="1"/>
      <w:numFmt w:val="lowerLetter"/>
      <w:lvlText w:val="%8."/>
      <w:lvlJc w:val="left"/>
      <w:pPr>
        <w:ind w:left="5400" w:firstLine="0"/>
      </w:pPr>
    </w:lvl>
    <w:lvl w:ilvl="8" w:tplc="C23AB48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32290503"/>
    <w:multiLevelType w:val="hybridMultilevel"/>
    <w:tmpl w:val="C28E720E"/>
    <w:name w:val="Нумерованный список 12"/>
    <w:lvl w:ilvl="0" w:tplc="FB98810A">
      <w:start w:val="4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C270B9BE">
      <w:start w:val="1"/>
      <w:numFmt w:val="lowerLetter"/>
      <w:lvlText w:val="%2."/>
      <w:lvlJc w:val="left"/>
      <w:pPr>
        <w:ind w:left="1080" w:firstLine="0"/>
      </w:pPr>
    </w:lvl>
    <w:lvl w:ilvl="2" w:tplc="68668762">
      <w:start w:val="1"/>
      <w:numFmt w:val="lowerRoman"/>
      <w:lvlText w:val="%3."/>
      <w:lvlJc w:val="left"/>
      <w:pPr>
        <w:ind w:left="1980" w:firstLine="0"/>
      </w:pPr>
    </w:lvl>
    <w:lvl w:ilvl="3" w:tplc="1E10D338">
      <w:start w:val="1"/>
      <w:numFmt w:val="decimal"/>
      <w:lvlText w:val="%4."/>
      <w:lvlJc w:val="left"/>
      <w:pPr>
        <w:ind w:left="2520" w:firstLine="0"/>
      </w:pPr>
    </w:lvl>
    <w:lvl w:ilvl="4" w:tplc="C068D4A4">
      <w:start w:val="1"/>
      <w:numFmt w:val="lowerLetter"/>
      <w:lvlText w:val="%5."/>
      <w:lvlJc w:val="left"/>
      <w:pPr>
        <w:ind w:left="3240" w:firstLine="0"/>
      </w:pPr>
    </w:lvl>
    <w:lvl w:ilvl="5" w:tplc="4698BDAA">
      <w:start w:val="1"/>
      <w:numFmt w:val="lowerRoman"/>
      <w:lvlText w:val="%6."/>
      <w:lvlJc w:val="left"/>
      <w:pPr>
        <w:ind w:left="4140" w:firstLine="0"/>
      </w:pPr>
    </w:lvl>
    <w:lvl w:ilvl="6" w:tplc="A7F26F48">
      <w:start w:val="1"/>
      <w:numFmt w:val="decimal"/>
      <w:lvlText w:val="%7."/>
      <w:lvlJc w:val="left"/>
      <w:pPr>
        <w:ind w:left="4680" w:firstLine="0"/>
      </w:pPr>
    </w:lvl>
    <w:lvl w:ilvl="7" w:tplc="9B7C912C">
      <w:start w:val="1"/>
      <w:numFmt w:val="lowerLetter"/>
      <w:lvlText w:val="%8."/>
      <w:lvlJc w:val="left"/>
      <w:pPr>
        <w:ind w:left="5400" w:firstLine="0"/>
      </w:pPr>
    </w:lvl>
    <w:lvl w:ilvl="8" w:tplc="D0201AC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5025911"/>
    <w:multiLevelType w:val="hybridMultilevel"/>
    <w:tmpl w:val="4CB068CC"/>
    <w:name w:val="Нумерованный список 1"/>
    <w:lvl w:ilvl="0" w:tplc="E2A21DC8">
      <w:start w:val="1"/>
      <w:numFmt w:val="decimal"/>
      <w:lvlText w:val="%1."/>
      <w:lvlJc w:val="left"/>
      <w:pPr>
        <w:ind w:left="284" w:firstLine="0"/>
      </w:pPr>
    </w:lvl>
    <w:lvl w:ilvl="1" w:tplc="DA98BD6A">
      <w:start w:val="1"/>
      <w:numFmt w:val="decimal"/>
      <w:lvlText w:val="%2."/>
      <w:lvlJc w:val="left"/>
      <w:pPr>
        <w:ind w:left="1004" w:firstLine="0"/>
      </w:pPr>
    </w:lvl>
    <w:lvl w:ilvl="2" w:tplc="0ABC4C82">
      <w:start w:val="1"/>
      <w:numFmt w:val="decimal"/>
      <w:lvlText w:val="%3."/>
      <w:lvlJc w:val="left"/>
      <w:pPr>
        <w:ind w:left="1724" w:firstLine="0"/>
      </w:pPr>
    </w:lvl>
    <w:lvl w:ilvl="3" w:tplc="A76E9874">
      <w:start w:val="1"/>
      <w:numFmt w:val="decimal"/>
      <w:lvlText w:val="%4."/>
      <w:lvlJc w:val="left"/>
      <w:pPr>
        <w:ind w:left="2444" w:firstLine="0"/>
      </w:pPr>
    </w:lvl>
    <w:lvl w:ilvl="4" w:tplc="00063AB4">
      <w:start w:val="1"/>
      <w:numFmt w:val="decimal"/>
      <w:lvlText w:val="%5."/>
      <w:lvlJc w:val="left"/>
      <w:pPr>
        <w:ind w:left="3164" w:firstLine="0"/>
      </w:pPr>
    </w:lvl>
    <w:lvl w:ilvl="5" w:tplc="7A58FFA6">
      <w:start w:val="1"/>
      <w:numFmt w:val="decimal"/>
      <w:lvlText w:val="%6."/>
      <w:lvlJc w:val="left"/>
      <w:pPr>
        <w:ind w:left="3884" w:firstLine="0"/>
      </w:pPr>
    </w:lvl>
    <w:lvl w:ilvl="6" w:tplc="3ECA4324">
      <w:start w:val="1"/>
      <w:numFmt w:val="decimal"/>
      <w:lvlText w:val="%7."/>
      <w:lvlJc w:val="left"/>
      <w:pPr>
        <w:ind w:left="4604" w:firstLine="0"/>
      </w:pPr>
    </w:lvl>
    <w:lvl w:ilvl="7" w:tplc="32E25C54">
      <w:start w:val="1"/>
      <w:numFmt w:val="decimal"/>
      <w:lvlText w:val="%8."/>
      <w:lvlJc w:val="left"/>
      <w:pPr>
        <w:ind w:left="5324" w:firstLine="0"/>
      </w:pPr>
    </w:lvl>
    <w:lvl w:ilvl="8" w:tplc="54C4560A">
      <w:start w:val="1"/>
      <w:numFmt w:val="decimal"/>
      <w:lvlText w:val="%9."/>
      <w:lvlJc w:val="left"/>
      <w:pPr>
        <w:ind w:left="6044" w:firstLine="0"/>
      </w:pPr>
    </w:lvl>
  </w:abstractNum>
  <w:abstractNum w:abstractNumId="6">
    <w:nsid w:val="39DD0EE8"/>
    <w:multiLevelType w:val="hybridMultilevel"/>
    <w:tmpl w:val="F410A3D4"/>
    <w:name w:val="Нумерованный список 14"/>
    <w:lvl w:ilvl="0" w:tplc="74B0227C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4FE45C6A">
      <w:start w:val="1"/>
      <w:numFmt w:val="lowerLetter"/>
      <w:lvlText w:val="%2."/>
      <w:lvlJc w:val="left"/>
      <w:pPr>
        <w:ind w:left="1080" w:firstLine="0"/>
      </w:pPr>
    </w:lvl>
    <w:lvl w:ilvl="2" w:tplc="E93E940E">
      <w:start w:val="1"/>
      <w:numFmt w:val="lowerRoman"/>
      <w:lvlText w:val="%3."/>
      <w:lvlJc w:val="left"/>
      <w:pPr>
        <w:ind w:left="1980" w:firstLine="0"/>
      </w:pPr>
    </w:lvl>
    <w:lvl w:ilvl="3" w:tplc="3FEA403E">
      <w:start w:val="1"/>
      <w:numFmt w:val="decimal"/>
      <w:lvlText w:val="%4."/>
      <w:lvlJc w:val="left"/>
      <w:pPr>
        <w:ind w:left="2520" w:firstLine="0"/>
      </w:pPr>
    </w:lvl>
    <w:lvl w:ilvl="4" w:tplc="D700C362">
      <w:start w:val="1"/>
      <w:numFmt w:val="lowerLetter"/>
      <w:lvlText w:val="%5."/>
      <w:lvlJc w:val="left"/>
      <w:pPr>
        <w:ind w:left="3240" w:firstLine="0"/>
      </w:pPr>
    </w:lvl>
    <w:lvl w:ilvl="5" w:tplc="0C989914">
      <w:start w:val="1"/>
      <w:numFmt w:val="lowerRoman"/>
      <w:lvlText w:val="%6."/>
      <w:lvlJc w:val="left"/>
      <w:pPr>
        <w:ind w:left="4140" w:firstLine="0"/>
      </w:pPr>
    </w:lvl>
    <w:lvl w:ilvl="6" w:tplc="22A0A944">
      <w:start w:val="1"/>
      <w:numFmt w:val="decimal"/>
      <w:lvlText w:val="%7."/>
      <w:lvlJc w:val="left"/>
      <w:pPr>
        <w:ind w:left="4680" w:firstLine="0"/>
      </w:pPr>
    </w:lvl>
    <w:lvl w:ilvl="7" w:tplc="1FD80EA6">
      <w:start w:val="1"/>
      <w:numFmt w:val="lowerLetter"/>
      <w:lvlText w:val="%8."/>
      <w:lvlJc w:val="left"/>
      <w:pPr>
        <w:ind w:left="5400" w:firstLine="0"/>
      </w:pPr>
    </w:lvl>
    <w:lvl w:ilvl="8" w:tplc="46A814A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01E7173"/>
    <w:multiLevelType w:val="hybridMultilevel"/>
    <w:tmpl w:val="5322932C"/>
    <w:lvl w:ilvl="0" w:tplc="783E85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8FA7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1E026B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7343C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6C93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AD8F4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2DE1A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D50B6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68E97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566E085B"/>
    <w:multiLevelType w:val="hybridMultilevel"/>
    <w:tmpl w:val="7E201EA0"/>
    <w:name w:val="Нумерованный список 13"/>
    <w:lvl w:ilvl="0" w:tplc="2966A256">
      <w:start w:val="2"/>
      <w:numFmt w:val="decimal"/>
      <w:lvlText w:val="%1."/>
      <w:lvlJc w:val="left"/>
      <w:pPr>
        <w:ind w:left="360" w:firstLine="0"/>
      </w:pPr>
    </w:lvl>
    <w:lvl w:ilvl="1" w:tplc="6FBC14BE">
      <w:start w:val="1"/>
      <w:numFmt w:val="decimal"/>
      <w:lvlText w:val="%2."/>
      <w:lvlJc w:val="left"/>
      <w:pPr>
        <w:ind w:left="1080" w:firstLine="0"/>
      </w:pPr>
    </w:lvl>
    <w:lvl w:ilvl="2" w:tplc="39C0CBDE">
      <w:start w:val="1"/>
      <w:numFmt w:val="decimal"/>
      <w:lvlText w:val="%3."/>
      <w:lvlJc w:val="left"/>
      <w:pPr>
        <w:ind w:left="1800" w:firstLine="0"/>
      </w:pPr>
    </w:lvl>
    <w:lvl w:ilvl="3" w:tplc="AD623CE2">
      <w:start w:val="1"/>
      <w:numFmt w:val="decimal"/>
      <w:lvlText w:val="%4."/>
      <w:lvlJc w:val="left"/>
      <w:pPr>
        <w:ind w:left="2520" w:firstLine="0"/>
      </w:pPr>
    </w:lvl>
    <w:lvl w:ilvl="4" w:tplc="0BC04454">
      <w:start w:val="1"/>
      <w:numFmt w:val="decimal"/>
      <w:lvlText w:val="%5."/>
      <w:lvlJc w:val="left"/>
      <w:pPr>
        <w:ind w:left="3240" w:firstLine="0"/>
      </w:pPr>
    </w:lvl>
    <w:lvl w:ilvl="5" w:tplc="E16EC174">
      <w:start w:val="1"/>
      <w:numFmt w:val="decimal"/>
      <w:lvlText w:val="%6."/>
      <w:lvlJc w:val="left"/>
      <w:pPr>
        <w:ind w:left="3960" w:firstLine="0"/>
      </w:pPr>
    </w:lvl>
    <w:lvl w:ilvl="6" w:tplc="00123220">
      <w:start w:val="1"/>
      <w:numFmt w:val="decimal"/>
      <w:lvlText w:val="%7."/>
      <w:lvlJc w:val="left"/>
      <w:pPr>
        <w:ind w:left="4680" w:firstLine="0"/>
      </w:pPr>
    </w:lvl>
    <w:lvl w:ilvl="7" w:tplc="6EFACA46">
      <w:start w:val="1"/>
      <w:numFmt w:val="decimal"/>
      <w:lvlText w:val="%8."/>
      <w:lvlJc w:val="left"/>
      <w:pPr>
        <w:ind w:left="5400" w:firstLine="0"/>
      </w:pPr>
    </w:lvl>
    <w:lvl w:ilvl="8" w:tplc="95205C18">
      <w:start w:val="1"/>
      <w:numFmt w:val="decimal"/>
      <w:lvlText w:val="%9."/>
      <w:lvlJc w:val="left"/>
      <w:pPr>
        <w:ind w:left="6120" w:firstLine="0"/>
      </w:pPr>
    </w:lvl>
  </w:abstractNum>
  <w:abstractNum w:abstractNumId="9">
    <w:nsid w:val="69D5619F"/>
    <w:multiLevelType w:val="hybridMultilevel"/>
    <w:tmpl w:val="BD7CB476"/>
    <w:name w:val="Нумерованный список 11"/>
    <w:lvl w:ilvl="0" w:tplc="BD1ED93E">
      <w:start w:val="3"/>
      <w:numFmt w:val="decimal"/>
      <w:lvlText w:val="%1."/>
      <w:lvlJc w:val="left"/>
      <w:pPr>
        <w:ind w:left="360" w:firstLine="0"/>
      </w:pPr>
    </w:lvl>
    <w:lvl w:ilvl="1" w:tplc="A97A2880">
      <w:start w:val="1"/>
      <w:numFmt w:val="decimal"/>
      <w:lvlText w:val="%2."/>
      <w:lvlJc w:val="left"/>
      <w:pPr>
        <w:ind w:left="1080" w:firstLine="0"/>
      </w:pPr>
    </w:lvl>
    <w:lvl w:ilvl="2" w:tplc="05A01830">
      <w:start w:val="1"/>
      <w:numFmt w:val="decimal"/>
      <w:lvlText w:val="%3."/>
      <w:lvlJc w:val="left"/>
      <w:pPr>
        <w:ind w:left="1800" w:firstLine="0"/>
      </w:pPr>
    </w:lvl>
    <w:lvl w:ilvl="3" w:tplc="616256FA">
      <w:start w:val="1"/>
      <w:numFmt w:val="decimal"/>
      <w:lvlText w:val="%4."/>
      <w:lvlJc w:val="left"/>
      <w:pPr>
        <w:ind w:left="2520" w:firstLine="0"/>
      </w:pPr>
    </w:lvl>
    <w:lvl w:ilvl="4" w:tplc="21A2C7AA">
      <w:start w:val="1"/>
      <w:numFmt w:val="decimal"/>
      <w:lvlText w:val="%5."/>
      <w:lvlJc w:val="left"/>
      <w:pPr>
        <w:ind w:left="3240" w:firstLine="0"/>
      </w:pPr>
    </w:lvl>
    <w:lvl w:ilvl="5" w:tplc="66CAEB0E">
      <w:start w:val="1"/>
      <w:numFmt w:val="decimal"/>
      <w:lvlText w:val="%6."/>
      <w:lvlJc w:val="left"/>
      <w:pPr>
        <w:ind w:left="3960" w:firstLine="0"/>
      </w:pPr>
    </w:lvl>
    <w:lvl w:ilvl="6" w:tplc="32E627F8">
      <w:start w:val="1"/>
      <w:numFmt w:val="decimal"/>
      <w:lvlText w:val="%7."/>
      <w:lvlJc w:val="left"/>
      <w:pPr>
        <w:ind w:left="4680" w:firstLine="0"/>
      </w:pPr>
    </w:lvl>
    <w:lvl w:ilvl="7" w:tplc="CA687774">
      <w:start w:val="1"/>
      <w:numFmt w:val="decimal"/>
      <w:lvlText w:val="%8."/>
      <w:lvlJc w:val="left"/>
      <w:pPr>
        <w:ind w:left="5400" w:firstLine="0"/>
      </w:pPr>
    </w:lvl>
    <w:lvl w:ilvl="8" w:tplc="FDCAE77E">
      <w:start w:val="1"/>
      <w:numFmt w:val="decimal"/>
      <w:lvlText w:val="%9."/>
      <w:lvlJc w:val="left"/>
      <w:pPr>
        <w:ind w:left="6120" w:firstLine="0"/>
      </w:pPr>
    </w:lvl>
  </w:abstractNum>
  <w:abstractNum w:abstractNumId="10">
    <w:nsid w:val="6D3020A8"/>
    <w:multiLevelType w:val="hybridMultilevel"/>
    <w:tmpl w:val="21FAC66E"/>
    <w:name w:val="Нумерованный список 3"/>
    <w:lvl w:ilvl="0" w:tplc="F4540516">
      <w:start w:val="4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617AE970">
      <w:start w:val="1"/>
      <w:numFmt w:val="lowerLetter"/>
      <w:lvlText w:val="%2."/>
      <w:lvlJc w:val="left"/>
      <w:pPr>
        <w:ind w:left="1080" w:firstLine="0"/>
      </w:pPr>
    </w:lvl>
    <w:lvl w:ilvl="2" w:tplc="F20EA8C6">
      <w:start w:val="1"/>
      <w:numFmt w:val="lowerRoman"/>
      <w:lvlText w:val="%3."/>
      <w:lvlJc w:val="left"/>
      <w:pPr>
        <w:ind w:left="1980" w:firstLine="0"/>
      </w:pPr>
    </w:lvl>
    <w:lvl w:ilvl="3" w:tplc="59C44704">
      <w:start w:val="1"/>
      <w:numFmt w:val="decimal"/>
      <w:lvlText w:val="%4."/>
      <w:lvlJc w:val="left"/>
      <w:pPr>
        <w:ind w:left="2520" w:firstLine="0"/>
      </w:pPr>
    </w:lvl>
    <w:lvl w:ilvl="4" w:tplc="B4CED9A8">
      <w:start w:val="1"/>
      <w:numFmt w:val="lowerLetter"/>
      <w:lvlText w:val="%5."/>
      <w:lvlJc w:val="left"/>
      <w:pPr>
        <w:ind w:left="3240" w:firstLine="0"/>
      </w:pPr>
    </w:lvl>
    <w:lvl w:ilvl="5" w:tplc="C5804138">
      <w:start w:val="1"/>
      <w:numFmt w:val="lowerRoman"/>
      <w:lvlText w:val="%6."/>
      <w:lvlJc w:val="left"/>
      <w:pPr>
        <w:ind w:left="4140" w:firstLine="0"/>
      </w:pPr>
    </w:lvl>
    <w:lvl w:ilvl="6" w:tplc="5FDCEE02">
      <w:start w:val="1"/>
      <w:numFmt w:val="decimal"/>
      <w:lvlText w:val="%7."/>
      <w:lvlJc w:val="left"/>
      <w:pPr>
        <w:ind w:left="4680" w:firstLine="0"/>
      </w:pPr>
    </w:lvl>
    <w:lvl w:ilvl="7" w:tplc="5BF4237E">
      <w:start w:val="1"/>
      <w:numFmt w:val="lowerLetter"/>
      <w:lvlText w:val="%8."/>
      <w:lvlJc w:val="left"/>
      <w:pPr>
        <w:ind w:left="5400" w:firstLine="0"/>
      </w:pPr>
    </w:lvl>
    <w:lvl w:ilvl="8" w:tplc="0D0850BE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ECD7E0A"/>
    <w:multiLevelType w:val="hybridMultilevel"/>
    <w:tmpl w:val="37623B04"/>
    <w:name w:val="Нумерованный список 10"/>
    <w:lvl w:ilvl="0" w:tplc="73F6464C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 w:tplc="270691C6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2" w:tplc="DD7ED298">
      <w:numFmt w:val="bullet"/>
      <w:lvlText w:val="–"/>
      <w:lvlJc w:val="left"/>
      <w:pPr>
        <w:ind w:left="1080" w:firstLine="0"/>
      </w:pPr>
      <w:rPr>
        <w:rFonts w:ascii="OpenSymbol" w:eastAsia="OpenSymbol" w:hAnsi="OpenSymbol" w:cs="OpenSymbol"/>
      </w:rPr>
    </w:lvl>
    <w:lvl w:ilvl="3" w:tplc="BB0E9814">
      <w:numFmt w:val="bullet"/>
      <w:lvlText w:val="–"/>
      <w:lvlJc w:val="left"/>
      <w:pPr>
        <w:ind w:left="1440" w:firstLine="0"/>
      </w:pPr>
      <w:rPr>
        <w:rFonts w:ascii="OpenSymbol" w:eastAsia="OpenSymbol" w:hAnsi="OpenSymbol" w:cs="OpenSymbol"/>
      </w:rPr>
    </w:lvl>
    <w:lvl w:ilvl="4" w:tplc="B5F06570">
      <w:numFmt w:val="bullet"/>
      <w:lvlText w:val="–"/>
      <w:lvlJc w:val="left"/>
      <w:pPr>
        <w:ind w:left="1800" w:firstLine="0"/>
      </w:pPr>
      <w:rPr>
        <w:rFonts w:ascii="OpenSymbol" w:eastAsia="OpenSymbol" w:hAnsi="OpenSymbol" w:cs="OpenSymbol"/>
      </w:rPr>
    </w:lvl>
    <w:lvl w:ilvl="5" w:tplc="08F01B42">
      <w:numFmt w:val="bullet"/>
      <w:lvlText w:val="–"/>
      <w:lvlJc w:val="left"/>
      <w:pPr>
        <w:ind w:left="2160" w:firstLine="0"/>
      </w:pPr>
      <w:rPr>
        <w:rFonts w:ascii="OpenSymbol" w:eastAsia="OpenSymbol" w:hAnsi="OpenSymbol" w:cs="OpenSymbol"/>
      </w:rPr>
    </w:lvl>
    <w:lvl w:ilvl="6" w:tplc="2DD0F696">
      <w:numFmt w:val="bullet"/>
      <w:lvlText w:val="–"/>
      <w:lvlJc w:val="left"/>
      <w:pPr>
        <w:ind w:left="2520" w:firstLine="0"/>
      </w:pPr>
      <w:rPr>
        <w:rFonts w:ascii="OpenSymbol" w:eastAsia="OpenSymbol" w:hAnsi="OpenSymbol" w:cs="OpenSymbol"/>
      </w:rPr>
    </w:lvl>
    <w:lvl w:ilvl="7" w:tplc="7E7251C6">
      <w:numFmt w:val="bullet"/>
      <w:lvlText w:val="–"/>
      <w:lvlJc w:val="left"/>
      <w:pPr>
        <w:ind w:left="2880" w:firstLine="0"/>
      </w:pPr>
      <w:rPr>
        <w:rFonts w:ascii="OpenSymbol" w:eastAsia="OpenSymbol" w:hAnsi="OpenSymbol" w:cs="OpenSymbol"/>
      </w:rPr>
    </w:lvl>
    <w:lvl w:ilvl="8" w:tplc="6952C82C">
      <w:numFmt w:val="bullet"/>
      <w:lvlText w:val="–"/>
      <w:lvlJc w:val="left"/>
      <w:pPr>
        <w:ind w:left="3240" w:firstLine="0"/>
      </w:pPr>
      <w:rPr>
        <w:rFonts w:ascii="OpenSymbol" w:eastAsia="OpenSymbol" w:hAnsi="OpenSymbol" w:cs="OpenSymbol"/>
      </w:rPr>
    </w:lvl>
  </w:abstractNum>
  <w:abstractNum w:abstractNumId="12">
    <w:nsid w:val="765569A4"/>
    <w:multiLevelType w:val="hybridMultilevel"/>
    <w:tmpl w:val="295ACE4E"/>
    <w:name w:val="Нумерованный список 6"/>
    <w:lvl w:ilvl="0" w:tplc="24F8B6B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12A48E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A8C87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A687C6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48CC5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04E40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EF4F3C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C8CA86B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A0A4A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>
    <w:nsid w:val="792C6D54"/>
    <w:multiLevelType w:val="hybridMultilevel"/>
    <w:tmpl w:val="1B001234"/>
    <w:name w:val="Нумерованный список 4"/>
    <w:lvl w:ilvl="0" w:tplc="CF28E13E">
      <w:start w:val="1"/>
      <w:numFmt w:val="decimal"/>
      <w:lvlText w:val="%1."/>
      <w:lvlJc w:val="left"/>
      <w:pPr>
        <w:ind w:left="360" w:firstLine="0"/>
      </w:pPr>
      <w:rPr>
        <w:b/>
        <w:bCs/>
        <w:color w:val="000000"/>
        <w:sz w:val="24"/>
      </w:rPr>
    </w:lvl>
    <w:lvl w:ilvl="1" w:tplc="9924A042">
      <w:start w:val="1"/>
      <w:numFmt w:val="lowerLetter"/>
      <w:lvlText w:val="%2."/>
      <w:lvlJc w:val="left"/>
      <w:pPr>
        <w:ind w:left="1080" w:firstLine="0"/>
      </w:pPr>
    </w:lvl>
    <w:lvl w:ilvl="2" w:tplc="92DED070">
      <w:start w:val="1"/>
      <w:numFmt w:val="lowerRoman"/>
      <w:lvlText w:val="%3."/>
      <w:lvlJc w:val="left"/>
      <w:pPr>
        <w:ind w:left="1980" w:firstLine="0"/>
      </w:pPr>
    </w:lvl>
    <w:lvl w:ilvl="3" w:tplc="E30CEE6E">
      <w:start w:val="1"/>
      <w:numFmt w:val="decimal"/>
      <w:lvlText w:val="%4."/>
      <w:lvlJc w:val="left"/>
      <w:pPr>
        <w:ind w:left="2520" w:firstLine="0"/>
      </w:pPr>
    </w:lvl>
    <w:lvl w:ilvl="4" w:tplc="748CB7F8">
      <w:start w:val="1"/>
      <w:numFmt w:val="lowerLetter"/>
      <w:lvlText w:val="%5."/>
      <w:lvlJc w:val="left"/>
      <w:pPr>
        <w:ind w:left="3240" w:firstLine="0"/>
      </w:pPr>
    </w:lvl>
    <w:lvl w:ilvl="5" w:tplc="45F6580E">
      <w:start w:val="1"/>
      <w:numFmt w:val="lowerRoman"/>
      <w:lvlText w:val="%6."/>
      <w:lvlJc w:val="left"/>
      <w:pPr>
        <w:ind w:left="4140" w:firstLine="0"/>
      </w:pPr>
    </w:lvl>
    <w:lvl w:ilvl="6" w:tplc="772AE582">
      <w:start w:val="1"/>
      <w:numFmt w:val="decimal"/>
      <w:lvlText w:val="%7."/>
      <w:lvlJc w:val="left"/>
      <w:pPr>
        <w:ind w:left="4680" w:firstLine="0"/>
      </w:pPr>
    </w:lvl>
    <w:lvl w:ilvl="7" w:tplc="66A68994">
      <w:start w:val="1"/>
      <w:numFmt w:val="lowerLetter"/>
      <w:lvlText w:val="%8."/>
      <w:lvlJc w:val="left"/>
      <w:pPr>
        <w:ind w:left="5400" w:firstLine="0"/>
      </w:pPr>
    </w:lvl>
    <w:lvl w:ilvl="8" w:tplc="8B0CBC22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7A14279A"/>
    <w:multiLevelType w:val="hybridMultilevel"/>
    <w:tmpl w:val="07B05E5E"/>
    <w:name w:val="Нумерованный список 9"/>
    <w:lvl w:ilvl="0" w:tplc="A3C2D0F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87C98C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668DD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2048EA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C3E806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45839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64A152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690B0A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7C0E0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4475B5"/>
    <w:rsid w:val="004475B5"/>
    <w:rsid w:val="00466DD5"/>
    <w:rsid w:val="00A270D8"/>
    <w:rsid w:val="00E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Standard">
    <w:name w:val="Standard"/>
    <w:qFormat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a6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uk-UA" w:eastAsia="uk-UA"/>
    </w:rPr>
  </w:style>
  <w:style w:type="paragraph" w:styleId="a7">
    <w:name w:val="Body Text Indent"/>
    <w:basedOn w:val="a"/>
    <w:qFormat/>
    <w:pPr>
      <w:tabs>
        <w:tab w:val="left" w:pos="241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basedOn w:val="a0"/>
    <w:rPr>
      <w:sz w:val="16"/>
      <w:szCs w:val="16"/>
    </w:rPr>
  </w:style>
  <w:style w:type="character" w:customStyle="1" w:styleId="a9">
    <w:name w:val="Текст примечания Знак"/>
    <w:basedOn w:val="a0"/>
    <w:rPr>
      <w:sz w:val="20"/>
      <w:szCs w:val="20"/>
    </w:rPr>
  </w:style>
  <w:style w:type="character" w:customStyle="1" w:styleId="aa">
    <w:name w:val="Тема примечания Знак"/>
    <w:basedOn w:val="a9"/>
    <w:rPr>
      <w:b/>
      <w:bCs/>
      <w:sz w:val="20"/>
      <w:szCs w:val="20"/>
    </w:rPr>
  </w:style>
  <w:style w:type="character" w:customStyle="1" w:styleId="ab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Standard">
    <w:name w:val="Standard"/>
    <w:qFormat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a6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uk-UA" w:eastAsia="uk-UA"/>
    </w:rPr>
  </w:style>
  <w:style w:type="paragraph" w:styleId="a7">
    <w:name w:val="Body Text Indent"/>
    <w:basedOn w:val="a"/>
    <w:qFormat/>
    <w:pPr>
      <w:tabs>
        <w:tab w:val="left" w:pos="241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basedOn w:val="a0"/>
    <w:rPr>
      <w:sz w:val="16"/>
      <w:szCs w:val="16"/>
    </w:rPr>
  </w:style>
  <w:style w:type="character" w:customStyle="1" w:styleId="a9">
    <w:name w:val="Текст примечания Знак"/>
    <w:basedOn w:val="a0"/>
    <w:rPr>
      <w:sz w:val="20"/>
      <w:szCs w:val="20"/>
    </w:rPr>
  </w:style>
  <w:style w:type="character" w:customStyle="1" w:styleId="aa">
    <w:name w:val="Тема примечания Знак"/>
    <w:basedOn w:val="a9"/>
    <w:rPr>
      <w:b/>
      <w:bCs/>
      <w:sz w:val="20"/>
      <w:szCs w:val="20"/>
    </w:rPr>
  </w:style>
  <w:style w:type="character" w:customStyle="1" w:styleId="ab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5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1-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М А Т Е Р И А Л Ы</cp:lastModifiedBy>
  <cp:revision>14</cp:revision>
  <dcterms:created xsi:type="dcterms:W3CDTF">2020-11-04T11:06:00Z</dcterms:created>
  <dcterms:modified xsi:type="dcterms:W3CDTF">2022-08-19T14:55:00Z</dcterms:modified>
</cp:coreProperties>
</file>