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5D" w:rsidRPr="00867F8F" w:rsidRDefault="008B735D" w:rsidP="00A94E45">
      <w:pPr>
        <w:spacing w:after="0" w:line="240" w:lineRule="auto"/>
        <w:jc w:val="center"/>
        <w:rPr>
          <w:rFonts w:ascii="Times New Roman" w:hAnsi="Times New Roman"/>
          <w:b/>
          <w:sz w:val="28"/>
          <w:szCs w:val="28"/>
        </w:rPr>
      </w:pPr>
      <w:r w:rsidRPr="00867F8F">
        <w:rPr>
          <w:rFonts w:ascii="Times New Roman" w:hAnsi="Times New Roman"/>
          <w:b/>
          <w:sz w:val="28"/>
          <w:szCs w:val="28"/>
        </w:rPr>
        <w:t>Перелік змін до тендерної документації</w:t>
      </w:r>
      <w:r w:rsidR="00D23D80" w:rsidRPr="00867F8F">
        <w:rPr>
          <w:rFonts w:ascii="Times New Roman" w:hAnsi="Times New Roman"/>
          <w:b/>
          <w:sz w:val="28"/>
          <w:szCs w:val="28"/>
        </w:rPr>
        <w:t xml:space="preserve"> від 1</w:t>
      </w:r>
      <w:r w:rsidR="00EB69F8">
        <w:rPr>
          <w:rFonts w:ascii="Times New Roman" w:hAnsi="Times New Roman"/>
          <w:b/>
          <w:sz w:val="28"/>
          <w:szCs w:val="28"/>
        </w:rPr>
        <w:t>2</w:t>
      </w:r>
      <w:r w:rsidR="00D23D80" w:rsidRPr="00867F8F">
        <w:rPr>
          <w:rFonts w:ascii="Times New Roman" w:hAnsi="Times New Roman"/>
          <w:b/>
          <w:sz w:val="28"/>
          <w:szCs w:val="28"/>
        </w:rPr>
        <w:t>.08.2022</w:t>
      </w:r>
    </w:p>
    <w:p w:rsidR="004B4BE4" w:rsidRPr="00867F8F" w:rsidRDefault="004B4BE4" w:rsidP="00A94E45">
      <w:pPr>
        <w:spacing w:after="0" w:line="240" w:lineRule="auto"/>
        <w:jc w:val="both"/>
        <w:rPr>
          <w:rFonts w:ascii="Times New Roman" w:hAnsi="Times New Roman"/>
          <w:b/>
          <w:sz w:val="28"/>
          <w:szCs w:val="28"/>
        </w:rPr>
      </w:pPr>
    </w:p>
    <w:p w:rsidR="00BE6C6B" w:rsidRPr="00867F8F" w:rsidRDefault="00BE6C6B" w:rsidP="00BE6C6B">
      <w:pPr>
        <w:ind w:firstLine="709"/>
        <w:jc w:val="both"/>
        <w:rPr>
          <w:rFonts w:ascii="Times New Roman" w:hAnsi="Times New Roman"/>
          <w:sz w:val="28"/>
          <w:szCs w:val="28"/>
        </w:rPr>
      </w:pPr>
      <w:r w:rsidRPr="00867F8F">
        <w:rPr>
          <w:rFonts w:ascii="Times New Roman" w:hAnsi="Times New Roman"/>
          <w:sz w:val="28"/>
          <w:szCs w:val="28"/>
        </w:rPr>
        <w:t>1. Підпункт 4.3 пункту 4 розділу 1 «Загальні положення» тендерної документації викласти у новій редакції:</w:t>
      </w:r>
    </w:p>
    <w:tbl>
      <w:tblPr>
        <w:tblStyle w:val="aa"/>
        <w:tblW w:w="9889" w:type="dxa"/>
        <w:tblLook w:val="04A0"/>
      </w:tblPr>
      <w:tblGrid>
        <w:gridCol w:w="466"/>
        <w:gridCol w:w="3262"/>
        <w:gridCol w:w="6161"/>
      </w:tblGrid>
      <w:tr w:rsidR="00867F8F" w:rsidRPr="00867F8F" w:rsidTr="00B3090D">
        <w:tc>
          <w:tcPr>
            <w:tcW w:w="9889" w:type="dxa"/>
            <w:gridSpan w:val="3"/>
          </w:tcPr>
          <w:p w:rsidR="00506E35" w:rsidRPr="00867F8F" w:rsidRDefault="00506E35" w:rsidP="00B3090D">
            <w:pPr>
              <w:jc w:val="center"/>
              <w:rPr>
                <w:rFonts w:ascii="Times New Roman" w:hAnsi="Times New Roman"/>
                <w:sz w:val="24"/>
                <w:szCs w:val="24"/>
                <w:lang w:eastAsia="uk-UA"/>
              </w:rPr>
            </w:pPr>
            <w:r w:rsidRPr="00867F8F">
              <w:rPr>
                <w:rFonts w:ascii="Times New Roman" w:hAnsi="Times New Roman"/>
                <w:sz w:val="24"/>
                <w:szCs w:val="24"/>
                <w:lang w:eastAsia="uk-UA"/>
              </w:rPr>
              <w:t>1. Загальні положення</w:t>
            </w:r>
          </w:p>
        </w:tc>
      </w:tr>
      <w:tr w:rsidR="00867F8F" w:rsidRPr="00867F8F" w:rsidTr="00B3090D">
        <w:tc>
          <w:tcPr>
            <w:tcW w:w="392" w:type="dxa"/>
          </w:tcPr>
          <w:p w:rsidR="00506E35" w:rsidRPr="00867F8F" w:rsidRDefault="00506E35" w:rsidP="00B3090D">
            <w:pPr>
              <w:pStyle w:val="a5"/>
              <w:rPr>
                <w:rFonts w:ascii="Times New Roman" w:hAnsi="Times New Roman"/>
                <w:sz w:val="20"/>
                <w:szCs w:val="20"/>
                <w:lang w:eastAsia="uk-UA"/>
              </w:rPr>
            </w:pPr>
            <w:r w:rsidRPr="00867F8F">
              <w:rPr>
                <w:rFonts w:ascii="Times New Roman" w:hAnsi="Times New Roman"/>
                <w:sz w:val="20"/>
                <w:szCs w:val="20"/>
                <w:lang w:eastAsia="uk-UA"/>
              </w:rPr>
              <w:t>4.3</w:t>
            </w:r>
          </w:p>
        </w:tc>
        <w:tc>
          <w:tcPr>
            <w:tcW w:w="3285" w:type="dxa"/>
          </w:tcPr>
          <w:p w:rsidR="00506E35" w:rsidRPr="00867F8F" w:rsidRDefault="00506E35" w:rsidP="00B3090D">
            <w:pPr>
              <w:pStyle w:val="a5"/>
              <w:rPr>
                <w:rFonts w:ascii="Times New Roman" w:hAnsi="Times New Roman"/>
                <w:sz w:val="20"/>
                <w:szCs w:val="20"/>
                <w:lang w:eastAsia="ru-RU"/>
              </w:rPr>
            </w:pPr>
            <w:r w:rsidRPr="00867F8F">
              <w:rPr>
                <w:rFonts w:ascii="Times New Roman" w:hAnsi="Times New Roman"/>
                <w:sz w:val="20"/>
                <w:szCs w:val="20"/>
                <w:lang w:eastAsia="uk-UA"/>
              </w:rPr>
              <w:t>кількість та місце поставки товарів або обсяг і місце виконання робіт чи надання послуг</w:t>
            </w:r>
          </w:p>
        </w:tc>
        <w:tc>
          <w:tcPr>
            <w:tcW w:w="6212" w:type="dxa"/>
          </w:tcPr>
          <w:p w:rsidR="00506E35" w:rsidRPr="00867F8F" w:rsidRDefault="00506E35" w:rsidP="00B3090D">
            <w:pPr>
              <w:ind w:firstLine="217"/>
              <w:jc w:val="both"/>
              <w:rPr>
                <w:rFonts w:ascii="Times New Roman" w:hAnsi="Times New Roman"/>
                <w:sz w:val="20"/>
                <w:szCs w:val="20"/>
                <w:shd w:val="clear" w:color="auto" w:fill="FFFFFF"/>
              </w:rPr>
            </w:pPr>
            <w:r w:rsidRPr="00867F8F">
              <w:rPr>
                <w:rFonts w:ascii="Times New Roman" w:hAnsi="Times New Roman"/>
                <w:sz w:val="20"/>
                <w:szCs w:val="20"/>
                <w:shd w:val="clear" w:color="auto" w:fill="FFFFFF"/>
              </w:rPr>
              <w:t xml:space="preserve">кількість – </w:t>
            </w:r>
            <w:r w:rsidRPr="00867F8F">
              <w:rPr>
                <w:rFonts w:ascii="Times New Roman" w:hAnsi="Times New Roman"/>
                <w:sz w:val="20"/>
                <w:szCs w:val="20"/>
                <w:shd w:val="clear" w:color="auto" w:fill="FFFFFF"/>
                <w:lang w:val="ru-RU"/>
              </w:rPr>
              <w:t>288</w:t>
            </w:r>
            <w:r w:rsidRPr="00867F8F">
              <w:rPr>
                <w:rFonts w:ascii="Times New Roman" w:hAnsi="Times New Roman"/>
                <w:sz w:val="20"/>
                <w:szCs w:val="20"/>
                <w:shd w:val="clear" w:color="auto" w:fill="FFFFFF"/>
                <w:lang w:val="en-US"/>
              </w:rPr>
              <w:t> </w:t>
            </w:r>
            <w:r w:rsidRPr="00867F8F">
              <w:rPr>
                <w:rFonts w:ascii="Times New Roman" w:hAnsi="Times New Roman"/>
                <w:sz w:val="20"/>
                <w:szCs w:val="20"/>
                <w:shd w:val="clear" w:color="auto" w:fill="FFFFFF"/>
                <w:lang w:val="ru-RU"/>
              </w:rPr>
              <w:t>614</w:t>
            </w:r>
            <w:r w:rsidRPr="00867F8F">
              <w:rPr>
                <w:rFonts w:ascii="Times New Roman" w:hAnsi="Times New Roman"/>
                <w:sz w:val="20"/>
                <w:szCs w:val="20"/>
                <w:shd w:val="clear" w:color="auto" w:fill="FFFFFF"/>
                <w:lang w:val="en-US"/>
              </w:rPr>
              <w:t> </w:t>
            </w:r>
            <w:r w:rsidRPr="00867F8F">
              <w:rPr>
                <w:rFonts w:ascii="Times New Roman" w:hAnsi="Times New Roman"/>
                <w:sz w:val="20"/>
                <w:szCs w:val="20"/>
                <w:shd w:val="clear" w:color="auto" w:fill="FFFFFF"/>
              </w:rPr>
              <w:t>кВт. год.</w:t>
            </w:r>
          </w:p>
          <w:p w:rsidR="00506E35" w:rsidRPr="00867F8F" w:rsidRDefault="00506E35" w:rsidP="00B3090D">
            <w:pPr>
              <w:ind w:firstLine="217"/>
              <w:jc w:val="both"/>
              <w:rPr>
                <w:rFonts w:ascii="Times New Roman" w:hAnsi="Times New Roman"/>
                <w:sz w:val="20"/>
                <w:szCs w:val="20"/>
                <w:shd w:val="clear" w:color="auto" w:fill="FFFFFF"/>
              </w:rPr>
            </w:pPr>
            <w:r w:rsidRPr="00867F8F">
              <w:rPr>
                <w:rFonts w:ascii="Times New Roman" w:hAnsi="Times New Roman"/>
                <w:sz w:val="20"/>
                <w:szCs w:val="20"/>
                <w:shd w:val="clear" w:color="auto" w:fill="FFFFFF"/>
              </w:rPr>
              <w:t>місце надання послуг – відповідно до Додатку 4 до тендерної документації</w:t>
            </w:r>
          </w:p>
        </w:tc>
      </w:tr>
    </w:tbl>
    <w:p w:rsidR="00506E35" w:rsidRPr="00867F8F" w:rsidRDefault="00506E35" w:rsidP="00A94E45">
      <w:pPr>
        <w:ind w:firstLine="709"/>
        <w:jc w:val="both"/>
        <w:rPr>
          <w:rFonts w:ascii="Times New Roman" w:hAnsi="Times New Roman"/>
          <w:sz w:val="28"/>
          <w:szCs w:val="28"/>
        </w:rPr>
      </w:pPr>
    </w:p>
    <w:p w:rsidR="00F30073" w:rsidRPr="00867F8F" w:rsidRDefault="00BE6C6B" w:rsidP="00A94E45">
      <w:pPr>
        <w:ind w:firstLine="709"/>
        <w:jc w:val="both"/>
        <w:rPr>
          <w:rFonts w:ascii="Times New Roman" w:hAnsi="Times New Roman"/>
          <w:sz w:val="28"/>
          <w:szCs w:val="28"/>
        </w:rPr>
      </w:pPr>
      <w:r w:rsidRPr="00867F8F">
        <w:rPr>
          <w:rFonts w:ascii="Times New Roman" w:hAnsi="Times New Roman"/>
          <w:sz w:val="28"/>
          <w:szCs w:val="28"/>
        </w:rPr>
        <w:t>2</w:t>
      </w:r>
      <w:r w:rsidR="002E1A68" w:rsidRPr="00867F8F">
        <w:rPr>
          <w:rFonts w:ascii="Times New Roman" w:hAnsi="Times New Roman"/>
          <w:sz w:val="28"/>
          <w:szCs w:val="28"/>
        </w:rPr>
        <w:t xml:space="preserve">. </w:t>
      </w:r>
      <w:r w:rsidR="00F30073" w:rsidRPr="00867F8F">
        <w:rPr>
          <w:rFonts w:ascii="Times New Roman" w:hAnsi="Times New Roman"/>
          <w:sz w:val="28"/>
          <w:szCs w:val="28"/>
        </w:rPr>
        <w:t xml:space="preserve">Пункт </w:t>
      </w:r>
      <w:r w:rsidR="00685C6F" w:rsidRPr="00867F8F">
        <w:rPr>
          <w:rFonts w:ascii="Times New Roman" w:hAnsi="Times New Roman"/>
          <w:sz w:val="28"/>
          <w:szCs w:val="28"/>
        </w:rPr>
        <w:t>1 розділу 5 «Оцінка тендерної пропозиції» тендерної документації</w:t>
      </w:r>
      <w:r w:rsidR="00F30073" w:rsidRPr="00867F8F">
        <w:rPr>
          <w:rFonts w:ascii="Times New Roman" w:hAnsi="Times New Roman"/>
          <w:sz w:val="28"/>
          <w:szCs w:val="28"/>
        </w:rPr>
        <w:t xml:space="preserve"> викласти у новій редакції:</w:t>
      </w:r>
    </w:p>
    <w:tbl>
      <w:tblPr>
        <w:tblStyle w:val="aa"/>
        <w:tblW w:w="9889" w:type="dxa"/>
        <w:tblLook w:val="04A0"/>
      </w:tblPr>
      <w:tblGrid>
        <w:gridCol w:w="392"/>
        <w:gridCol w:w="3285"/>
        <w:gridCol w:w="6212"/>
      </w:tblGrid>
      <w:tr w:rsidR="00867F8F" w:rsidRPr="00867F8F" w:rsidTr="00EB31FA">
        <w:tc>
          <w:tcPr>
            <w:tcW w:w="9889" w:type="dxa"/>
            <w:gridSpan w:val="3"/>
          </w:tcPr>
          <w:p w:rsidR="00681939" w:rsidRPr="00867F8F" w:rsidRDefault="00681939" w:rsidP="00337F6B">
            <w:pPr>
              <w:jc w:val="center"/>
              <w:rPr>
                <w:sz w:val="24"/>
                <w:szCs w:val="24"/>
              </w:rPr>
            </w:pPr>
            <w:r w:rsidRPr="00867F8F">
              <w:rPr>
                <w:rFonts w:ascii="Times New Roman" w:hAnsi="Times New Roman"/>
                <w:sz w:val="24"/>
                <w:szCs w:val="24"/>
                <w:lang w:eastAsia="uk-UA"/>
              </w:rPr>
              <w:t>5. Оцінка тендерної пропозиції</w:t>
            </w:r>
          </w:p>
        </w:tc>
      </w:tr>
      <w:tr w:rsidR="00681939" w:rsidRPr="00867F8F" w:rsidTr="00681939">
        <w:tc>
          <w:tcPr>
            <w:tcW w:w="392" w:type="dxa"/>
          </w:tcPr>
          <w:p w:rsidR="00681939" w:rsidRPr="00867F8F" w:rsidRDefault="00681939" w:rsidP="00BB486B">
            <w:pPr>
              <w:pStyle w:val="a5"/>
              <w:rPr>
                <w:rFonts w:ascii="Times New Roman" w:hAnsi="Times New Roman"/>
                <w:sz w:val="20"/>
                <w:szCs w:val="20"/>
                <w:lang w:eastAsia="uk-UA"/>
              </w:rPr>
            </w:pPr>
            <w:r w:rsidRPr="00867F8F">
              <w:rPr>
                <w:rFonts w:ascii="Times New Roman" w:hAnsi="Times New Roman"/>
                <w:sz w:val="20"/>
                <w:szCs w:val="20"/>
                <w:lang w:eastAsia="uk-UA"/>
              </w:rPr>
              <w:t>1</w:t>
            </w:r>
          </w:p>
        </w:tc>
        <w:tc>
          <w:tcPr>
            <w:tcW w:w="3285" w:type="dxa"/>
          </w:tcPr>
          <w:p w:rsidR="00681939" w:rsidRPr="00867F8F" w:rsidRDefault="00681939" w:rsidP="00BB486B">
            <w:pPr>
              <w:pStyle w:val="a5"/>
              <w:rPr>
                <w:rFonts w:ascii="Times New Roman" w:hAnsi="Times New Roman"/>
                <w:sz w:val="20"/>
                <w:szCs w:val="20"/>
                <w:lang w:eastAsia="uk-UA"/>
              </w:rPr>
            </w:pPr>
            <w:r w:rsidRPr="00867F8F">
              <w:rPr>
                <w:rFonts w:ascii="Times New Roman" w:hAnsi="Times New Roman"/>
                <w:sz w:val="20"/>
                <w:szCs w:val="20"/>
                <w:lang w:eastAsia="uk-UA"/>
              </w:rPr>
              <w:t>Перелік критеріїв та методика оцінки тендерної пропозиції із зазначенням питомої ваги критерію</w:t>
            </w:r>
          </w:p>
        </w:tc>
        <w:tc>
          <w:tcPr>
            <w:tcW w:w="6212" w:type="dxa"/>
          </w:tcPr>
          <w:p w:rsidR="00681939" w:rsidRPr="00867F8F" w:rsidRDefault="00681939" w:rsidP="00BB486B">
            <w:pPr>
              <w:pStyle w:val="ac"/>
              <w:spacing w:before="0" w:beforeAutospacing="0" w:after="0" w:afterAutospacing="0"/>
              <w:ind w:firstLine="217"/>
              <w:jc w:val="both"/>
              <w:rPr>
                <w:sz w:val="20"/>
                <w:szCs w:val="20"/>
              </w:rPr>
            </w:pPr>
            <w:r w:rsidRPr="00867F8F">
              <w:rPr>
                <w:sz w:val="20"/>
                <w:szCs w:val="20"/>
              </w:rPr>
              <w:t>Єдиним критерієм оцінки тендерних пропозицій є ціна.</w:t>
            </w:r>
          </w:p>
          <w:p w:rsidR="00681939" w:rsidRPr="00867F8F" w:rsidRDefault="00681939" w:rsidP="00BB486B">
            <w:pPr>
              <w:pStyle w:val="ac"/>
              <w:spacing w:before="0" w:beforeAutospacing="0" w:after="0" w:afterAutospacing="0"/>
              <w:ind w:firstLine="217"/>
              <w:jc w:val="both"/>
              <w:rPr>
                <w:sz w:val="20"/>
                <w:szCs w:val="20"/>
              </w:rPr>
            </w:pPr>
            <w:r w:rsidRPr="00867F8F">
              <w:rPr>
                <w:sz w:val="20"/>
                <w:szCs w:val="20"/>
              </w:rPr>
              <w:t>Питома вага цінового критерію – 100%.</w:t>
            </w:r>
          </w:p>
          <w:p w:rsidR="00681939" w:rsidRPr="00867F8F" w:rsidRDefault="00681939" w:rsidP="00BB486B">
            <w:pPr>
              <w:ind w:firstLine="217"/>
              <w:jc w:val="both"/>
              <w:rPr>
                <w:rFonts w:ascii="Times New Roman" w:eastAsia="Times New Roman" w:hAnsi="Times New Roman"/>
                <w:sz w:val="20"/>
                <w:szCs w:val="20"/>
                <w:lang w:eastAsia="uk-UA"/>
              </w:rPr>
            </w:pPr>
            <w:r w:rsidRPr="00867F8F">
              <w:rPr>
                <w:rFonts w:ascii="Times New Roman" w:eastAsia="Times New Roman" w:hAnsi="Times New Roman"/>
                <w:sz w:val="20"/>
                <w:szCs w:val="20"/>
                <w:lang w:eastAsia="uk-UA"/>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rsidR="00681939" w:rsidRPr="00867F8F" w:rsidRDefault="00681939" w:rsidP="00BB486B">
            <w:pPr>
              <w:ind w:firstLine="217"/>
              <w:jc w:val="both"/>
              <w:rPr>
                <w:rFonts w:ascii="Times New Roman" w:eastAsia="Times New Roman" w:hAnsi="Times New Roman"/>
                <w:sz w:val="20"/>
                <w:szCs w:val="20"/>
                <w:lang w:eastAsia="uk-UA"/>
              </w:rPr>
            </w:pPr>
            <w:r w:rsidRPr="00867F8F">
              <w:rPr>
                <w:rFonts w:ascii="Times New Roman" w:eastAsia="Times New Roman" w:hAnsi="Times New Roman"/>
                <w:sz w:val="20"/>
                <w:szCs w:val="2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81939" w:rsidRPr="00867F8F" w:rsidRDefault="00681939" w:rsidP="00BB486B">
            <w:pPr>
              <w:ind w:firstLine="217"/>
              <w:jc w:val="both"/>
              <w:rPr>
                <w:rFonts w:ascii="Times New Roman" w:eastAsia="Times New Roman" w:hAnsi="Times New Roman"/>
                <w:sz w:val="20"/>
                <w:szCs w:val="20"/>
                <w:lang w:eastAsia="uk-UA"/>
              </w:rPr>
            </w:pPr>
            <w:r w:rsidRPr="00867F8F">
              <w:rPr>
                <w:rFonts w:ascii="Times New Roman" w:eastAsia="Times New Roman" w:hAnsi="Times New Roman"/>
                <w:sz w:val="20"/>
                <w:szCs w:val="20"/>
                <w:lang w:eastAsia="uk-UA"/>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(якщо таке вимагається цією тендерною документацією).</w:t>
            </w:r>
          </w:p>
          <w:p w:rsidR="00681939" w:rsidRPr="00867F8F" w:rsidRDefault="00681939" w:rsidP="00BB486B">
            <w:pPr>
              <w:ind w:firstLine="217"/>
              <w:jc w:val="both"/>
              <w:rPr>
                <w:rFonts w:ascii="Times New Roman" w:eastAsia="Times New Roman" w:hAnsi="Times New Roman"/>
                <w:sz w:val="20"/>
                <w:szCs w:val="20"/>
                <w:lang w:eastAsia="uk-UA"/>
              </w:rPr>
            </w:pPr>
            <w:r w:rsidRPr="00867F8F">
              <w:rPr>
                <w:rFonts w:ascii="Times New Roman" w:eastAsia="Times New Roman" w:hAnsi="Times New Roman"/>
                <w:sz w:val="20"/>
                <w:szCs w:val="20"/>
                <w:lang w:eastAsia="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681939" w:rsidRPr="00867F8F" w:rsidRDefault="00681939" w:rsidP="00BB486B">
            <w:pPr>
              <w:shd w:val="clear" w:color="auto" w:fill="FFFFFF"/>
              <w:spacing w:after="120"/>
              <w:ind w:firstLine="217"/>
              <w:jc w:val="both"/>
              <w:rPr>
                <w:rFonts w:ascii="Times New Roman" w:hAnsi="Times New Roman"/>
                <w:sz w:val="20"/>
                <w:szCs w:val="20"/>
              </w:rPr>
            </w:pPr>
            <w:r w:rsidRPr="00867F8F">
              <w:rPr>
                <w:rFonts w:ascii="Times New Roman" w:hAnsi="Times New Roman"/>
                <w:sz w:val="20"/>
                <w:szCs w:val="20"/>
              </w:rPr>
              <w:t>Розрахунок очікуваної вартості для закупівлі здійснювався за таким підходом:</w:t>
            </w:r>
          </w:p>
          <w:p w:rsidR="00681939" w:rsidRPr="00867F8F" w:rsidRDefault="00681939" w:rsidP="00BB486B">
            <w:pPr>
              <w:shd w:val="clear" w:color="auto" w:fill="FFFFFF"/>
              <w:spacing w:after="120"/>
              <w:ind w:firstLine="217"/>
              <w:rPr>
                <w:rFonts w:ascii="Times New Roman" w:hAnsi="Times New Roman"/>
                <w:sz w:val="20"/>
                <w:szCs w:val="20"/>
              </w:rPr>
            </w:pPr>
            <w:r w:rsidRPr="00867F8F">
              <w:rPr>
                <w:rFonts w:ascii="Times New Roman" w:hAnsi="Times New Roman"/>
                <w:bCs/>
                <w:sz w:val="20"/>
                <w:szCs w:val="20"/>
              </w:rPr>
              <w:t>Ц факт = Середньозважена Ціна РДН ОЕС України за 11 днів серпня 2022 року + 5% (</w:t>
            </w:r>
            <w:hyperlink r:id="rId7" w:tgtFrame="_blank" w:history="1">
              <w:r w:rsidRPr="00867F8F">
                <w:rPr>
                  <w:rStyle w:val="ab"/>
                  <w:rFonts w:ascii="Times New Roman" w:hAnsi="Times New Roman"/>
                  <w:bCs/>
                  <w:color w:val="auto"/>
                </w:rPr>
                <w:t>https://www.oree.com.ua/</w:t>
              </w:r>
            </w:hyperlink>
            <w:r w:rsidRPr="00867F8F">
              <w:rPr>
                <w:rStyle w:val="ab"/>
                <w:rFonts w:ascii="Times New Roman" w:hAnsi="Times New Roman"/>
                <w:bCs/>
                <w:color w:val="auto"/>
              </w:rPr>
              <w:t>);</w:t>
            </w:r>
          </w:p>
          <w:p w:rsidR="00681939" w:rsidRPr="00867F8F" w:rsidRDefault="00681939" w:rsidP="00BB486B">
            <w:pPr>
              <w:shd w:val="clear" w:color="auto" w:fill="FFFFFF"/>
              <w:spacing w:after="120"/>
              <w:ind w:firstLine="217"/>
              <w:rPr>
                <w:rFonts w:ascii="Times New Roman" w:hAnsi="Times New Roman"/>
                <w:sz w:val="20"/>
                <w:szCs w:val="20"/>
              </w:rPr>
            </w:pPr>
            <w:r w:rsidRPr="00867F8F">
              <w:rPr>
                <w:rFonts w:ascii="Times New Roman" w:hAnsi="Times New Roman"/>
                <w:bCs/>
                <w:sz w:val="20"/>
                <w:szCs w:val="20"/>
              </w:rPr>
              <w:t>Ц факт = 2,9583 + 5% = 3,106215 грн без ПДВ;</w:t>
            </w:r>
          </w:p>
          <w:p w:rsidR="00681939" w:rsidRPr="00867F8F" w:rsidRDefault="00681939" w:rsidP="00BB486B">
            <w:pPr>
              <w:shd w:val="clear" w:color="auto" w:fill="FFFFFF"/>
              <w:spacing w:after="120"/>
              <w:ind w:firstLine="217"/>
              <w:rPr>
                <w:rFonts w:ascii="Times New Roman" w:hAnsi="Times New Roman"/>
                <w:bCs/>
                <w:sz w:val="20"/>
                <w:szCs w:val="20"/>
              </w:rPr>
            </w:pPr>
            <w:r w:rsidRPr="00867F8F">
              <w:rPr>
                <w:rFonts w:ascii="Times New Roman" w:hAnsi="Times New Roman"/>
                <w:bCs/>
                <w:sz w:val="20"/>
                <w:szCs w:val="20"/>
              </w:rPr>
              <w:t>Т пер. = тариф на передачу відповідно до постанови НКРЕКП від 01.12.2021 № 2454 = 0,34564 грн без ПДВ.</w:t>
            </w:r>
          </w:p>
          <w:p w:rsidR="00681939" w:rsidRPr="00867F8F" w:rsidRDefault="00681939" w:rsidP="00BB486B">
            <w:pPr>
              <w:ind w:firstLine="217"/>
              <w:jc w:val="both"/>
              <w:rPr>
                <w:rFonts w:ascii="Times New Roman" w:eastAsia="Times New Roman" w:hAnsi="Times New Roman"/>
                <w:sz w:val="20"/>
                <w:szCs w:val="20"/>
                <w:lang w:eastAsia="uk-UA"/>
              </w:rPr>
            </w:pPr>
            <w:r w:rsidRPr="00867F8F">
              <w:rPr>
                <w:rFonts w:ascii="Times New Roman" w:eastAsia="Times New Roman" w:hAnsi="Times New Roman"/>
                <w:sz w:val="20"/>
                <w:szCs w:val="20"/>
                <w:lang w:eastAsia="uk-UA"/>
              </w:rPr>
              <w:t>Вказані вище значення Ц факт, Т пер. будуть використовуватись для вирахування значення М  (маржа (вартість послуг постачальника) у відсотках, визначається за тендерною пропозицією переможця за результатами торгів, %).</w:t>
            </w:r>
          </w:p>
          <w:p w:rsidR="00681939" w:rsidRPr="00867F8F" w:rsidRDefault="00681939" w:rsidP="00BB486B">
            <w:pPr>
              <w:ind w:firstLine="217"/>
              <w:jc w:val="both"/>
              <w:rPr>
                <w:rFonts w:ascii="Times New Roman" w:hAnsi="Times New Roman"/>
                <w:b/>
                <w:sz w:val="20"/>
                <w:szCs w:val="20"/>
                <w:lang w:eastAsia="uk-UA"/>
              </w:rPr>
            </w:pPr>
            <w:r w:rsidRPr="00867F8F">
              <w:rPr>
                <w:rFonts w:ascii="Times New Roman" w:eastAsia="Times New Roman" w:hAnsi="Times New Roman"/>
                <w:b/>
                <w:sz w:val="20"/>
                <w:szCs w:val="20"/>
                <w:lang w:eastAsia="uk-UA"/>
              </w:rPr>
              <w:t>У процедурі</w:t>
            </w:r>
            <w:r w:rsidRPr="00867F8F">
              <w:rPr>
                <w:rFonts w:ascii="Times New Roman" w:hAnsi="Times New Roman"/>
                <w:b/>
                <w:sz w:val="20"/>
                <w:szCs w:val="20"/>
                <w:lang w:eastAsia="uk-UA"/>
              </w:rPr>
              <w:t xml:space="preserve"> закупівлі не допускається від’ємне значення М.</w:t>
            </w:r>
          </w:p>
          <w:p w:rsidR="00681939" w:rsidRPr="00867F8F" w:rsidRDefault="00681939" w:rsidP="00BB486B">
            <w:pPr>
              <w:pStyle w:val="ac"/>
              <w:spacing w:before="0" w:beforeAutospacing="0" w:after="0" w:afterAutospacing="0"/>
              <w:ind w:firstLine="217"/>
              <w:jc w:val="both"/>
              <w:rPr>
                <w:sz w:val="20"/>
                <w:szCs w:val="20"/>
              </w:rPr>
            </w:pPr>
            <w:r w:rsidRPr="00867F8F">
              <w:rPr>
                <w:sz w:val="20"/>
                <w:szCs w:val="20"/>
              </w:rPr>
              <w:t>Прогнозований обсяг споживання – 288 614 </w:t>
            </w:r>
            <w:proofErr w:type="spellStart"/>
            <w:r w:rsidRPr="00867F8F">
              <w:rPr>
                <w:sz w:val="20"/>
                <w:szCs w:val="20"/>
              </w:rPr>
              <w:t>кВт.год</w:t>
            </w:r>
            <w:proofErr w:type="spellEnd"/>
            <w:r w:rsidRPr="00867F8F">
              <w:rPr>
                <w:sz w:val="20"/>
                <w:szCs w:val="20"/>
              </w:rPr>
              <w:t xml:space="preserve">; прогнозована вартість за </w:t>
            </w:r>
            <w:proofErr w:type="spellStart"/>
            <w:r w:rsidRPr="00867F8F">
              <w:rPr>
                <w:sz w:val="20"/>
                <w:szCs w:val="20"/>
              </w:rPr>
              <w:t>кВт.год</w:t>
            </w:r>
            <w:proofErr w:type="spellEnd"/>
            <w:r w:rsidRPr="00867F8F">
              <w:rPr>
                <w:sz w:val="20"/>
                <w:szCs w:val="20"/>
              </w:rPr>
              <w:t xml:space="preserve"> – 4,15 </w:t>
            </w:r>
            <w:proofErr w:type="spellStart"/>
            <w:r w:rsidRPr="00867F8F">
              <w:rPr>
                <w:sz w:val="20"/>
                <w:szCs w:val="20"/>
              </w:rPr>
              <w:t>грн</w:t>
            </w:r>
            <w:proofErr w:type="spellEnd"/>
            <w:r w:rsidRPr="00867F8F">
              <w:rPr>
                <w:sz w:val="20"/>
                <w:szCs w:val="20"/>
              </w:rPr>
              <w:t xml:space="preserve"> (за </w:t>
            </w:r>
            <w:proofErr w:type="spellStart"/>
            <w:r w:rsidRPr="00867F8F">
              <w:rPr>
                <w:sz w:val="20"/>
                <w:szCs w:val="20"/>
              </w:rPr>
              <w:t>кВт.год</w:t>
            </w:r>
            <w:proofErr w:type="spellEnd"/>
            <w:r w:rsidRPr="00867F8F">
              <w:rPr>
                <w:sz w:val="20"/>
                <w:szCs w:val="20"/>
              </w:rPr>
              <w:t xml:space="preserve"> разом з тарифом на передачу та з ПДВ); очікувана вартість – 1 197 748,04 грн з ПДВ.</w:t>
            </w:r>
          </w:p>
          <w:p w:rsidR="00681939" w:rsidRPr="00867F8F" w:rsidRDefault="00681939" w:rsidP="00BB486B">
            <w:pPr>
              <w:pStyle w:val="ac"/>
              <w:spacing w:before="0" w:beforeAutospacing="0" w:after="0" w:afterAutospacing="0"/>
              <w:ind w:firstLine="217"/>
              <w:jc w:val="both"/>
              <w:rPr>
                <w:b/>
                <w:sz w:val="20"/>
                <w:szCs w:val="20"/>
              </w:rPr>
            </w:pPr>
            <w:r w:rsidRPr="00867F8F">
              <w:rPr>
                <w:b/>
                <w:sz w:val="20"/>
                <w:szCs w:val="20"/>
              </w:rPr>
              <w:t>Ціною пропозиції є ціна електричної енергії, що включає вартість електроенергії на сегменті ринку (РДН), оплату за послуги з передачі електроенергії, маржу Учасника, витрати на сплату податків.</w:t>
            </w:r>
          </w:p>
          <w:p w:rsidR="00681939" w:rsidRPr="00867F8F" w:rsidRDefault="00681939" w:rsidP="00BB486B">
            <w:pPr>
              <w:pStyle w:val="ac"/>
              <w:spacing w:before="0" w:beforeAutospacing="0" w:after="0" w:afterAutospacing="0"/>
              <w:ind w:firstLine="217"/>
              <w:jc w:val="both"/>
              <w:rPr>
                <w:sz w:val="20"/>
                <w:szCs w:val="20"/>
              </w:rPr>
            </w:pPr>
            <w:r w:rsidRPr="00867F8F">
              <w:rPr>
                <w:sz w:val="20"/>
                <w:szCs w:val="20"/>
              </w:rPr>
              <w:lastRenderedPageBreak/>
              <w:t>Відповідно до абзацу першого частини третьої статті 22 Закону, Замовник встановлює вимогу, що розрахунок ціни, за яку Учасник згоден виконати замовлення, повинен здійснюватися наступним чином:</w:t>
            </w:r>
          </w:p>
          <w:p w:rsidR="00681939" w:rsidRPr="00867F8F" w:rsidRDefault="00681939" w:rsidP="00BB486B">
            <w:pPr>
              <w:pStyle w:val="ac"/>
              <w:spacing w:beforeAutospacing="0" w:afterAutospacing="0"/>
              <w:ind w:firstLine="217"/>
              <w:jc w:val="both"/>
              <w:rPr>
                <w:sz w:val="20"/>
                <w:szCs w:val="20"/>
              </w:rPr>
            </w:pPr>
            <w:r w:rsidRPr="00867F8F">
              <w:rPr>
                <w:b/>
                <w:bCs/>
                <w:sz w:val="20"/>
                <w:szCs w:val="20"/>
              </w:rPr>
              <w:t>Р дог =∑ (</w:t>
            </w:r>
            <w:proofErr w:type="spellStart"/>
            <w:r w:rsidRPr="00867F8F">
              <w:rPr>
                <w:b/>
                <w:bCs/>
                <w:sz w:val="20"/>
                <w:szCs w:val="20"/>
              </w:rPr>
              <w:t>Ni</w:t>
            </w:r>
            <w:proofErr w:type="spellEnd"/>
            <w:r w:rsidRPr="00867F8F">
              <w:rPr>
                <w:b/>
                <w:bCs/>
                <w:sz w:val="20"/>
                <w:szCs w:val="20"/>
              </w:rPr>
              <w:t xml:space="preserve"> факт* Ц факт * (1+М/100)+ </w:t>
            </w:r>
            <w:proofErr w:type="spellStart"/>
            <w:r w:rsidRPr="00867F8F">
              <w:rPr>
                <w:b/>
                <w:bCs/>
                <w:sz w:val="20"/>
                <w:szCs w:val="20"/>
              </w:rPr>
              <w:t>Ni</w:t>
            </w:r>
            <w:proofErr w:type="spellEnd"/>
            <w:r w:rsidRPr="00867F8F">
              <w:rPr>
                <w:b/>
                <w:bCs/>
                <w:sz w:val="20"/>
                <w:szCs w:val="20"/>
              </w:rPr>
              <w:t xml:space="preserve"> факт* Т пер.)*</w:t>
            </w:r>
            <w:r w:rsidRPr="00867F8F">
              <w:rPr>
                <w:b/>
                <w:bCs/>
                <w:sz w:val="20"/>
                <w:szCs w:val="20"/>
              </w:rPr>
              <w:br/>
              <w:t>1,2 грн з ПДВ, де:</w:t>
            </w:r>
          </w:p>
          <w:p w:rsidR="00681939" w:rsidRPr="00867F8F" w:rsidRDefault="00681939" w:rsidP="00BB486B">
            <w:pPr>
              <w:pStyle w:val="ac"/>
              <w:spacing w:beforeAutospacing="0" w:afterAutospacing="0"/>
              <w:ind w:firstLine="217"/>
              <w:jc w:val="both"/>
              <w:rPr>
                <w:sz w:val="20"/>
                <w:szCs w:val="20"/>
              </w:rPr>
            </w:pPr>
            <w:r w:rsidRPr="00867F8F">
              <w:rPr>
                <w:b/>
                <w:bCs/>
                <w:sz w:val="20"/>
                <w:szCs w:val="20"/>
              </w:rPr>
              <w:t>Р дог</w:t>
            </w:r>
            <w:r w:rsidRPr="00867F8F">
              <w:rPr>
                <w:sz w:val="20"/>
                <w:szCs w:val="20"/>
              </w:rPr>
              <w:t xml:space="preserve"> – ціна тендерної пропозиції у гривні (UAH) – </w:t>
            </w:r>
            <w:r w:rsidRPr="00867F8F">
              <w:rPr>
                <w:i/>
                <w:iCs/>
                <w:sz w:val="20"/>
                <w:szCs w:val="20"/>
              </w:rPr>
              <w:t>ціна вказується у договорі за результатом процедури закупівлі</w:t>
            </w:r>
            <w:r w:rsidRPr="00867F8F">
              <w:rPr>
                <w:sz w:val="20"/>
                <w:szCs w:val="20"/>
              </w:rPr>
              <w:t>;</w:t>
            </w:r>
          </w:p>
          <w:p w:rsidR="00681939" w:rsidRPr="00867F8F" w:rsidRDefault="00681939" w:rsidP="00BB486B">
            <w:pPr>
              <w:pStyle w:val="ac"/>
              <w:spacing w:beforeAutospacing="0" w:afterAutospacing="0"/>
              <w:ind w:firstLine="217"/>
              <w:jc w:val="both"/>
              <w:rPr>
                <w:sz w:val="20"/>
                <w:szCs w:val="20"/>
              </w:rPr>
            </w:pPr>
            <w:proofErr w:type="spellStart"/>
            <w:r w:rsidRPr="00867F8F">
              <w:rPr>
                <w:b/>
                <w:bCs/>
                <w:sz w:val="20"/>
                <w:szCs w:val="20"/>
              </w:rPr>
              <w:t>Ni</w:t>
            </w:r>
            <w:proofErr w:type="spellEnd"/>
            <w:r w:rsidRPr="00867F8F">
              <w:rPr>
                <w:b/>
                <w:bCs/>
                <w:sz w:val="20"/>
                <w:szCs w:val="20"/>
              </w:rPr>
              <w:t xml:space="preserve"> факт</w:t>
            </w:r>
            <w:r w:rsidRPr="00867F8F">
              <w:rPr>
                <w:sz w:val="20"/>
                <w:szCs w:val="20"/>
              </w:rPr>
              <w:t xml:space="preserve"> – фактичний обсяг закупівлі електричної енергії для 2 класу відповідного об’єкта Споживача, 288 614</w:t>
            </w:r>
            <w:r w:rsidRPr="00867F8F">
              <w:rPr>
                <w:b/>
                <w:bCs/>
                <w:sz w:val="20"/>
                <w:szCs w:val="20"/>
              </w:rPr>
              <w:t xml:space="preserve"> </w:t>
            </w:r>
            <w:r w:rsidRPr="00867F8F">
              <w:rPr>
                <w:sz w:val="20"/>
                <w:szCs w:val="20"/>
              </w:rPr>
              <w:t>кВт*год.;</w:t>
            </w:r>
          </w:p>
          <w:p w:rsidR="00681939" w:rsidRPr="00867F8F" w:rsidRDefault="00681939" w:rsidP="00BB486B">
            <w:pPr>
              <w:pStyle w:val="ac"/>
              <w:spacing w:beforeAutospacing="0" w:afterAutospacing="0"/>
              <w:ind w:firstLine="217"/>
              <w:jc w:val="both"/>
              <w:rPr>
                <w:sz w:val="20"/>
                <w:szCs w:val="20"/>
              </w:rPr>
            </w:pPr>
            <w:r w:rsidRPr="00867F8F">
              <w:rPr>
                <w:b/>
                <w:bCs/>
                <w:sz w:val="20"/>
                <w:szCs w:val="20"/>
              </w:rPr>
              <w:t>Ц факт*</w:t>
            </w:r>
            <w:r w:rsidRPr="00867F8F">
              <w:rPr>
                <w:sz w:val="20"/>
                <w:szCs w:val="20"/>
              </w:rPr>
              <w:t xml:space="preserve">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гривень за 1 кВт*год без ПДВ;</w:t>
            </w:r>
          </w:p>
          <w:p w:rsidR="00681939" w:rsidRPr="00867F8F" w:rsidRDefault="00681939" w:rsidP="00BB486B">
            <w:pPr>
              <w:pStyle w:val="ac"/>
              <w:spacing w:beforeAutospacing="0" w:afterAutospacing="0"/>
              <w:ind w:firstLine="217"/>
              <w:jc w:val="both"/>
              <w:rPr>
                <w:sz w:val="20"/>
                <w:szCs w:val="20"/>
              </w:rPr>
            </w:pPr>
            <w:r w:rsidRPr="00867F8F">
              <w:rPr>
                <w:b/>
                <w:bCs/>
                <w:sz w:val="20"/>
                <w:szCs w:val="20"/>
              </w:rPr>
              <w:t>Т пер.</w:t>
            </w:r>
            <w:r w:rsidRPr="00867F8F">
              <w:rPr>
                <w:sz w:val="20"/>
                <w:szCs w:val="20"/>
              </w:rPr>
              <w:t xml:space="preserve"> - тариф (гривень за 1 кВт*год без ПДВ) на послуги з передачі електричної енергії затверджений регулятором для оператора системи передачі у встановленому порядку, який діє на час розрахунку;</w:t>
            </w:r>
          </w:p>
          <w:p w:rsidR="00681939" w:rsidRPr="00867F8F" w:rsidRDefault="00681939" w:rsidP="00BB486B">
            <w:pPr>
              <w:pStyle w:val="ac"/>
              <w:spacing w:beforeAutospacing="0" w:afterAutospacing="0"/>
              <w:ind w:firstLine="217"/>
              <w:jc w:val="both"/>
              <w:rPr>
                <w:sz w:val="20"/>
                <w:szCs w:val="20"/>
              </w:rPr>
            </w:pPr>
            <w:bookmarkStart w:id="0" w:name="_GoBack"/>
            <w:bookmarkEnd w:id="0"/>
            <w:r w:rsidRPr="00867F8F">
              <w:rPr>
                <w:b/>
                <w:bCs/>
                <w:sz w:val="20"/>
                <w:szCs w:val="20"/>
              </w:rPr>
              <w:t>1,2</w:t>
            </w:r>
            <w:r w:rsidRPr="00867F8F">
              <w:rPr>
                <w:sz w:val="20"/>
                <w:szCs w:val="20"/>
              </w:rPr>
              <w:t xml:space="preserve"> – математичне вираження ставки податку на додану вартість (ПДВ – 20 %);</w:t>
            </w:r>
          </w:p>
          <w:p w:rsidR="00681939" w:rsidRPr="00867F8F" w:rsidRDefault="00681939" w:rsidP="00BB486B">
            <w:pPr>
              <w:pStyle w:val="ac"/>
              <w:spacing w:beforeAutospacing="0" w:afterAutospacing="0"/>
              <w:ind w:firstLine="217"/>
              <w:jc w:val="both"/>
              <w:rPr>
                <w:sz w:val="20"/>
                <w:szCs w:val="20"/>
              </w:rPr>
            </w:pPr>
            <w:r w:rsidRPr="00867F8F">
              <w:rPr>
                <w:b/>
                <w:bCs/>
                <w:sz w:val="20"/>
                <w:szCs w:val="20"/>
              </w:rPr>
              <w:t xml:space="preserve">М </w:t>
            </w:r>
            <w:r w:rsidRPr="00867F8F">
              <w:rPr>
                <w:sz w:val="20"/>
                <w:szCs w:val="20"/>
              </w:rPr>
              <w:t>– маржа (вартість послуг постачальника) у відсотках, визначена за тендерною пропозицією переможця за результатами торгів, %.</w:t>
            </w:r>
          </w:p>
          <w:p w:rsidR="00681939" w:rsidRPr="00867F8F" w:rsidRDefault="00681939" w:rsidP="00BB486B">
            <w:pPr>
              <w:pStyle w:val="ac"/>
              <w:spacing w:before="0" w:beforeAutospacing="0" w:after="0" w:afterAutospacing="0"/>
              <w:ind w:firstLine="217"/>
              <w:jc w:val="both"/>
              <w:rPr>
                <w:sz w:val="16"/>
                <w:szCs w:val="16"/>
              </w:rPr>
            </w:pPr>
            <w:r w:rsidRPr="00867F8F">
              <w:rPr>
                <w:sz w:val="16"/>
                <w:szCs w:val="16"/>
              </w:rPr>
              <w:t>*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Ц факт:</w:t>
            </w:r>
          </w:p>
          <w:p w:rsidR="00681939" w:rsidRPr="00867F8F" w:rsidRDefault="00681939" w:rsidP="00BB486B">
            <w:pPr>
              <w:pStyle w:val="ac"/>
              <w:spacing w:before="0" w:beforeAutospacing="0" w:after="0" w:afterAutospacing="0"/>
              <w:ind w:firstLine="217"/>
              <w:jc w:val="both"/>
              <w:rPr>
                <w:sz w:val="16"/>
                <w:szCs w:val="16"/>
              </w:rPr>
            </w:pPr>
            <w:r w:rsidRPr="00867F8F">
              <w:rPr>
                <w:sz w:val="16"/>
                <w:szCs w:val="16"/>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681939" w:rsidRPr="00867F8F" w:rsidRDefault="00681939" w:rsidP="00BB486B">
            <w:pPr>
              <w:pStyle w:val="ac"/>
              <w:spacing w:before="0" w:beforeAutospacing="0" w:after="0" w:afterAutospacing="0"/>
              <w:ind w:firstLine="217"/>
              <w:jc w:val="both"/>
              <w:rPr>
                <w:sz w:val="16"/>
                <w:szCs w:val="16"/>
              </w:rPr>
            </w:pPr>
            <w:r w:rsidRPr="00867F8F">
              <w:rPr>
                <w:sz w:val="16"/>
                <w:szCs w:val="16"/>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681939" w:rsidRPr="00867F8F" w:rsidRDefault="00681939" w:rsidP="00BB486B">
            <w:pPr>
              <w:ind w:firstLine="217"/>
              <w:jc w:val="both"/>
              <w:rPr>
                <w:rFonts w:ascii="Times New Roman" w:eastAsia="Times New Roman" w:hAnsi="Times New Roman"/>
                <w:sz w:val="20"/>
                <w:szCs w:val="20"/>
                <w:lang w:eastAsia="uk-UA"/>
              </w:rPr>
            </w:pPr>
          </w:p>
          <w:p w:rsidR="00681939" w:rsidRPr="00867F8F" w:rsidRDefault="00681939" w:rsidP="00BB486B">
            <w:pPr>
              <w:ind w:firstLine="217"/>
              <w:jc w:val="both"/>
              <w:rPr>
                <w:rFonts w:ascii="Times New Roman" w:eastAsia="Times New Roman" w:hAnsi="Times New Roman"/>
                <w:sz w:val="20"/>
                <w:szCs w:val="20"/>
                <w:lang w:eastAsia="uk-UA"/>
              </w:rPr>
            </w:pPr>
            <w:r w:rsidRPr="00867F8F">
              <w:rPr>
                <w:rFonts w:ascii="Times New Roman" w:eastAsia="Times New Roman" w:hAnsi="Times New Roman"/>
                <w:sz w:val="20"/>
                <w:szCs w:val="20"/>
                <w:lang w:eastAsia="uk-UA"/>
              </w:rPr>
              <w:t>Визначення маржі за результатами аукціону, як від’ємної величини розцінюється, як відмова від підписання договору про закупівлю, в зв’язку з чим Учасник повинен надати лист про усвідомлення наслідків визначення маржі як від’ємної величини.</w:t>
            </w:r>
          </w:p>
          <w:p w:rsidR="00681939" w:rsidRPr="00867F8F" w:rsidRDefault="00681939" w:rsidP="00BB486B">
            <w:pPr>
              <w:ind w:firstLine="217"/>
              <w:jc w:val="both"/>
              <w:rPr>
                <w:rFonts w:ascii="Times New Roman" w:eastAsia="Times New Roman" w:hAnsi="Times New Roman"/>
                <w:b/>
                <w:sz w:val="20"/>
                <w:szCs w:val="20"/>
                <w:lang w:eastAsia="uk-UA"/>
              </w:rPr>
            </w:pPr>
            <w:r w:rsidRPr="00867F8F">
              <w:rPr>
                <w:rFonts w:ascii="Times New Roman" w:eastAsia="Times New Roman" w:hAnsi="Times New Roman"/>
                <w:b/>
                <w:sz w:val="20"/>
                <w:szCs w:val="20"/>
                <w:lang w:eastAsia="uk-UA"/>
              </w:rPr>
              <w:t>Замовник встановлює в тендерній документації вимогу до учасника надати гарантійний лист про його відповідні зобов’язання, а саме про те, що за результатами аукціону в тендерній пропозиції учасника маржа не буде від’ємною величиною, ненадання учасником будь-якого документу (листа, довідки) веде до відхилення тендерної пропозиції.</w:t>
            </w:r>
          </w:p>
          <w:p w:rsidR="00681939" w:rsidRPr="00867F8F" w:rsidRDefault="00681939" w:rsidP="00BB486B">
            <w:pPr>
              <w:ind w:firstLine="217"/>
              <w:jc w:val="both"/>
              <w:rPr>
                <w:rFonts w:ascii="Times New Roman" w:eastAsia="Times New Roman" w:hAnsi="Times New Roman"/>
                <w:sz w:val="20"/>
                <w:szCs w:val="20"/>
                <w:lang w:eastAsia="uk-UA"/>
              </w:rPr>
            </w:pPr>
            <w:r w:rsidRPr="00867F8F">
              <w:rPr>
                <w:rFonts w:ascii="Times New Roman" w:eastAsia="Times New Roman" w:hAnsi="Times New Roman"/>
                <w:sz w:val="20"/>
                <w:szCs w:val="20"/>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bl>
    <w:p w:rsidR="002E1A68" w:rsidRPr="00867F8F" w:rsidRDefault="002E1A68" w:rsidP="002E1A68">
      <w:pPr>
        <w:ind w:firstLine="709"/>
      </w:pPr>
    </w:p>
    <w:p w:rsidR="004B4BE4" w:rsidRPr="00867F8F" w:rsidRDefault="00BE6C6B" w:rsidP="00A94E45">
      <w:pPr>
        <w:ind w:firstLine="709"/>
        <w:jc w:val="both"/>
        <w:rPr>
          <w:rFonts w:ascii="Times New Roman" w:hAnsi="Times New Roman"/>
          <w:sz w:val="28"/>
          <w:szCs w:val="28"/>
        </w:rPr>
      </w:pPr>
      <w:r w:rsidRPr="00867F8F">
        <w:rPr>
          <w:rFonts w:ascii="Times New Roman" w:hAnsi="Times New Roman"/>
          <w:sz w:val="28"/>
          <w:szCs w:val="28"/>
        </w:rPr>
        <w:t>3</w:t>
      </w:r>
      <w:r w:rsidR="00C47DA5" w:rsidRPr="00867F8F">
        <w:rPr>
          <w:rFonts w:ascii="Times New Roman" w:hAnsi="Times New Roman"/>
          <w:sz w:val="28"/>
          <w:szCs w:val="28"/>
        </w:rPr>
        <w:t>. </w:t>
      </w:r>
      <w:r w:rsidR="00B8099F" w:rsidRPr="00867F8F">
        <w:rPr>
          <w:rFonts w:ascii="Times New Roman" w:hAnsi="Times New Roman"/>
          <w:sz w:val="28"/>
          <w:szCs w:val="28"/>
        </w:rPr>
        <w:t xml:space="preserve">Додаток </w:t>
      </w:r>
      <w:r w:rsidR="00F30073" w:rsidRPr="00867F8F">
        <w:rPr>
          <w:rFonts w:ascii="Times New Roman" w:hAnsi="Times New Roman"/>
          <w:sz w:val="28"/>
          <w:szCs w:val="28"/>
        </w:rPr>
        <w:t>4</w:t>
      </w:r>
      <w:r w:rsidR="00B8099F" w:rsidRPr="00867F8F">
        <w:rPr>
          <w:rFonts w:ascii="Times New Roman" w:hAnsi="Times New Roman"/>
          <w:sz w:val="28"/>
          <w:szCs w:val="28"/>
        </w:rPr>
        <w:t xml:space="preserve"> до тендерної документації викласти у новій редакції</w:t>
      </w:r>
      <w:r w:rsidR="00F30073" w:rsidRPr="00867F8F">
        <w:rPr>
          <w:rFonts w:ascii="Times New Roman" w:hAnsi="Times New Roman"/>
          <w:sz w:val="28"/>
          <w:szCs w:val="28"/>
        </w:rPr>
        <w:t>, що додається.</w:t>
      </w:r>
    </w:p>
    <w:p w:rsidR="004B4BE4" w:rsidRPr="00867F8F" w:rsidRDefault="004B4BE4" w:rsidP="00F8594D">
      <w:pPr>
        <w:spacing w:after="0" w:line="240" w:lineRule="auto"/>
        <w:ind w:left="7560"/>
        <w:jc w:val="right"/>
        <w:rPr>
          <w:rFonts w:ascii="Times New Roman" w:hAnsi="Times New Roman"/>
          <w:b/>
          <w:sz w:val="24"/>
          <w:szCs w:val="24"/>
        </w:rPr>
      </w:pPr>
    </w:p>
    <w:sectPr w:rsidR="004B4BE4" w:rsidRPr="00867F8F" w:rsidSect="00CB3B7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FE0" w:rsidRDefault="00E04FE0">
      <w:pPr>
        <w:spacing w:after="0" w:line="240" w:lineRule="auto"/>
      </w:pPr>
      <w:r>
        <w:separator/>
      </w:r>
    </w:p>
  </w:endnote>
  <w:endnote w:type="continuationSeparator" w:id="0">
    <w:p w:rsidR="00E04FE0" w:rsidRDefault="00E04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FE0" w:rsidRDefault="00E04FE0">
      <w:pPr>
        <w:spacing w:after="0" w:line="240" w:lineRule="auto"/>
      </w:pPr>
      <w:r>
        <w:separator/>
      </w:r>
    </w:p>
  </w:footnote>
  <w:footnote w:type="continuationSeparator" w:id="0">
    <w:p w:rsidR="00E04FE0" w:rsidRDefault="00E04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64196"/>
      <w:docPartObj>
        <w:docPartGallery w:val="Page Numbers (Top of Page)"/>
        <w:docPartUnique/>
      </w:docPartObj>
    </w:sdtPr>
    <w:sdtContent>
      <w:p w:rsidR="00CB3B76" w:rsidRDefault="00966380">
        <w:pPr>
          <w:pStyle w:val="ae"/>
          <w:jc w:val="center"/>
        </w:pPr>
        <w:r>
          <w:fldChar w:fldCharType="begin"/>
        </w:r>
        <w:r w:rsidR="00CB3B76">
          <w:instrText>PAGE   \* MERGEFORMAT</w:instrText>
        </w:r>
        <w:r>
          <w:fldChar w:fldCharType="separate"/>
        </w:r>
        <w:r w:rsidR="00EB69F8" w:rsidRPr="00EB69F8">
          <w:rPr>
            <w:noProof/>
            <w:lang w:val="ru-RU"/>
          </w:rPr>
          <w:t>2</w:t>
        </w:r>
        <w:r>
          <w:fldChar w:fldCharType="end"/>
        </w:r>
      </w:p>
    </w:sdtContent>
  </w:sdt>
  <w:p w:rsidR="00CB3B76" w:rsidRDefault="00CB3B7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5253C"/>
    <w:multiLevelType w:val="hybridMultilevel"/>
    <w:tmpl w:val="52C01242"/>
    <w:lvl w:ilvl="0" w:tplc="4376697C">
      <w:start w:val="1"/>
      <w:numFmt w:val="decimal"/>
      <w:lvlText w:val="%1."/>
      <w:lvlJc w:val="left"/>
      <w:pPr>
        <w:ind w:left="1654" w:hanging="94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594D"/>
    <w:rsid w:val="00213C7C"/>
    <w:rsid w:val="002E1A68"/>
    <w:rsid w:val="002E277E"/>
    <w:rsid w:val="00337F6B"/>
    <w:rsid w:val="003B57BE"/>
    <w:rsid w:val="004B4BE4"/>
    <w:rsid w:val="004E02FB"/>
    <w:rsid w:val="00506E35"/>
    <w:rsid w:val="00510255"/>
    <w:rsid w:val="005878AC"/>
    <w:rsid w:val="00681939"/>
    <w:rsid w:val="00685C6F"/>
    <w:rsid w:val="006944DB"/>
    <w:rsid w:val="006B7B59"/>
    <w:rsid w:val="00827A15"/>
    <w:rsid w:val="00867F8F"/>
    <w:rsid w:val="008B735D"/>
    <w:rsid w:val="0094066E"/>
    <w:rsid w:val="00966380"/>
    <w:rsid w:val="00A0347D"/>
    <w:rsid w:val="00A94E45"/>
    <w:rsid w:val="00B8099F"/>
    <w:rsid w:val="00BE6C6B"/>
    <w:rsid w:val="00C47DA5"/>
    <w:rsid w:val="00CB3B76"/>
    <w:rsid w:val="00D23D80"/>
    <w:rsid w:val="00D75F8A"/>
    <w:rsid w:val="00E04FE0"/>
    <w:rsid w:val="00EB69F8"/>
    <w:rsid w:val="00F30073"/>
    <w:rsid w:val="00F859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F8594D"/>
    <w:pPr>
      <w:tabs>
        <w:tab w:val="center" w:pos="4819"/>
        <w:tab w:val="right" w:pos="9639"/>
      </w:tabs>
      <w:spacing w:after="0" w:line="240" w:lineRule="auto"/>
    </w:pPr>
    <w:rPr>
      <w:sz w:val="20"/>
      <w:szCs w:val="20"/>
      <w:lang/>
    </w:rPr>
  </w:style>
  <w:style w:type="character" w:customStyle="1" w:styleId="a4">
    <w:name w:val="Нижний колонтитул Знак"/>
    <w:basedOn w:val="a0"/>
    <w:uiPriority w:val="99"/>
    <w:semiHidden/>
    <w:rsid w:val="00F8594D"/>
    <w:rPr>
      <w:rFonts w:ascii="Calibri" w:eastAsia="Calibri" w:hAnsi="Calibri" w:cs="Times New Roman"/>
    </w:rPr>
  </w:style>
  <w:style w:type="character" w:customStyle="1" w:styleId="1">
    <w:name w:val="Нижний колонтитул Знак1"/>
    <w:link w:val="a3"/>
    <w:uiPriority w:val="99"/>
    <w:locked/>
    <w:rsid w:val="00F8594D"/>
    <w:rPr>
      <w:rFonts w:ascii="Calibri" w:eastAsia="Calibri" w:hAnsi="Calibri" w:cs="Times New Roman"/>
      <w:sz w:val="20"/>
      <w:szCs w:val="20"/>
      <w:lang/>
    </w:rPr>
  </w:style>
  <w:style w:type="paragraph" w:customStyle="1" w:styleId="a5">
    <w:name w:val="Без інтервалів"/>
    <w:link w:val="a6"/>
    <w:uiPriority w:val="1"/>
    <w:qFormat/>
    <w:rsid w:val="00F8594D"/>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F8594D"/>
    <w:rPr>
      <w:rFonts w:ascii="Calibri" w:eastAsia="Calibri" w:hAnsi="Calibri" w:cs="Times New Roman"/>
    </w:rPr>
  </w:style>
  <w:style w:type="paragraph" w:styleId="a7">
    <w:name w:val="Body Text"/>
    <w:basedOn w:val="a"/>
    <w:link w:val="a8"/>
    <w:rsid w:val="00A0347D"/>
    <w:pPr>
      <w:widowControl w:val="0"/>
      <w:spacing w:after="120" w:line="338" w:lineRule="auto"/>
      <w:ind w:firstLine="440"/>
    </w:pPr>
    <w:rPr>
      <w:rFonts w:ascii="Arial" w:eastAsia="Times New Roman" w:hAnsi="Arial"/>
      <w:sz w:val="20"/>
      <w:szCs w:val="20"/>
      <w:lang w:eastAsia="ru-RU"/>
    </w:rPr>
  </w:style>
  <w:style w:type="character" w:customStyle="1" w:styleId="a8">
    <w:name w:val="Основной текст Знак"/>
    <w:basedOn w:val="a0"/>
    <w:link w:val="a7"/>
    <w:rsid w:val="00A0347D"/>
    <w:rPr>
      <w:rFonts w:ascii="Arial" w:eastAsia="Times New Roman" w:hAnsi="Arial" w:cs="Times New Roman"/>
      <w:sz w:val="20"/>
      <w:szCs w:val="20"/>
      <w:lang w:eastAsia="ru-RU"/>
    </w:rPr>
  </w:style>
  <w:style w:type="paragraph" w:styleId="a9">
    <w:name w:val="List Paragraph"/>
    <w:basedOn w:val="a"/>
    <w:uiPriority w:val="34"/>
    <w:qFormat/>
    <w:rsid w:val="002E1A68"/>
    <w:pPr>
      <w:ind w:left="720"/>
      <w:contextualSpacing/>
    </w:pPr>
  </w:style>
  <w:style w:type="table" w:styleId="aa">
    <w:name w:val="Table Grid"/>
    <w:basedOn w:val="a1"/>
    <w:uiPriority w:val="59"/>
    <w:rsid w:val="002E1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681939"/>
    <w:rPr>
      <w:rFonts w:cs="Times New Roman"/>
      <w:color w:val="0000FF"/>
      <w:u w:val="single"/>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qFormat/>
    <w:rsid w:val="0068193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681939"/>
    <w:rPr>
      <w:rFonts w:ascii="Times New Roman" w:eastAsia="Times New Roman" w:hAnsi="Times New Roman" w:cs="Times New Roman"/>
      <w:sz w:val="24"/>
      <w:szCs w:val="24"/>
      <w:lang w:eastAsia="uk-UA"/>
    </w:rPr>
  </w:style>
  <w:style w:type="paragraph" w:styleId="ae">
    <w:name w:val="header"/>
    <w:basedOn w:val="a"/>
    <w:link w:val="af"/>
    <w:uiPriority w:val="99"/>
    <w:unhideWhenUsed/>
    <w:rsid w:val="00CB3B7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B3B7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F8594D"/>
    <w:pPr>
      <w:tabs>
        <w:tab w:val="center" w:pos="4819"/>
        <w:tab w:val="right" w:pos="9639"/>
      </w:tabs>
      <w:spacing w:after="0" w:line="240" w:lineRule="auto"/>
    </w:pPr>
    <w:rPr>
      <w:sz w:val="20"/>
      <w:szCs w:val="20"/>
      <w:lang w:val="x-none" w:eastAsia="x-none"/>
    </w:rPr>
  </w:style>
  <w:style w:type="character" w:customStyle="1" w:styleId="a4">
    <w:name w:val="Нижний колонтитул Знак"/>
    <w:basedOn w:val="a0"/>
    <w:uiPriority w:val="99"/>
    <w:semiHidden/>
    <w:rsid w:val="00F8594D"/>
    <w:rPr>
      <w:rFonts w:ascii="Calibri" w:eastAsia="Calibri" w:hAnsi="Calibri" w:cs="Times New Roman"/>
    </w:rPr>
  </w:style>
  <w:style w:type="character" w:customStyle="1" w:styleId="1">
    <w:name w:val="Нижний колонтитул Знак1"/>
    <w:link w:val="a3"/>
    <w:uiPriority w:val="99"/>
    <w:locked/>
    <w:rsid w:val="00F8594D"/>
    <w:rPr>
      <w:rFonts w:ascii="Calibri" w:eastAsia="Calibri" w:hAnsi="Calibri" w:cs="Times New Roman"/>
      <w:sz w:val="20"/>
      <w:szCs w:val="20"/>
      <w:lang w:val="x-none" w:eastAsia="x-none"/>
    </w:rPr>
  </w:style>
  <w:style w:type="paragraph" w:customStyle="1" w:styleId="a5">
    <w:name w:val="Без інтервалів"/>
    <w:link w:val="a6"/>
    <w:uiPriority w:val="1"/>
    <w:qFormat/>
    <w:rsid w:val="00F8594D"/>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F8594D"/>
    <w:rPr>
      <w:rFonts w:ascii="Calibri" w:eastAsia="Calibri" w:hAnsi="Calibri" w:cs="Times New Roman"/>
    </w:rPr>
  </w:style>
  <w:style w:type="paragraph" w:styleId="a7">
    <w:name w:val="Body Text"/>
    <w:basedOn w:val="a"/>
    <w:link w:val="a8"/>
    <w:rsid w:val="00A0347D"/>
    <w:pPr>
      <w:widowControl w:val="0"/>
      <w:spacing w:after="120" w:line="338" w:lineRule="auto"/>
      <w:ind w:firstLine="440"/>
    </w:pPr>
    <w:rPr>
      <w:rFonts w:ascii="Arial" w:eastAsia="Times New Roman" w:hAnsi="Arial"/>
      <w:sz w:val="20"/>
      <w:szCs w:val="20"/>
      <w:lang w:val="x-none" w:eastAsia="ru-RU"/>
    </w:rPr>
  </w:style>
  <w:style w:type="character" w:customStyle="1" w:styleId="a8">
    <w:name w:val="Основной текст Знак"/>
    <w:basedOn w:val="a0"/>
    <w:link w:val="a7"/>
    <w:rsid w:val="00A0347D"/>
    <w:rPr>
      <w:rFonts w:ascii="Arial" w:eastAsia="Times New Roman" w:hAnsi="Arial" w:cs="Times New Roman"/>
      <w:sz w:val="20"/>
      <w:szCs w:val="20"/>
      <w:lang w:val="x-none" w:eastAsia="ru-RU"/>
    </w:rPr>
  </w:style>
  <w:style w:type="paragraph" w:styleId="a9">
    <w:name w:val="List Paragraph"/>
    <w:basedOn w:val="a"/>
    <w:uiPriority w:val="34"/>
    <w:qFormat/>
    <w:rsid w:val="002E1A68"/>
    <w:pPr>
      <w:ind w:left="720"/>
      <w:contextualSpacing/>
    </w:pPr>
  </w:style>
  <w:style w:type="table" w:styleId="aa">
    <w:name w:val="Table Grid"/>
    <w:basedOn w:val="a1"/>
    <w:uiPriority w:val="59"/>
    <w:rsid w:val="002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81939"/>
    <w:rPr>
      <w:rFonts w:cs="Times New Roman"/>
      <w:color w:val="0000FF"/>
      <w:u w:val="single"/>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qFormat/>
    <w:rsid w:val="0068193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681939"/>
    <w:rPr>
      <w:rFonts w:ascii="Times New Roman" w:eastAsia="Times New Roman" w:hAnsi="Times New Roman" w:cs="Times New Roman"/>
      <w:sz w:val="24"/>
      <w:szCs w:val="24"/>
      <w:lang w:eastAsia="uk-UA"/>
    </w:rPr>
  </w:style>
  <w:style w:type="paragraph" w:styleId="ae">
    <w:name w:val="header"/>
    <w:basedOn w:val="a"/>
    <w:link w:val="af"/>
    <w:uiPriority w:val="99"/>
    <w:unhideWhenUsed/>
    <w:rsid w:val="00CB3B7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B3B7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Давидова Ольга Леонідівна</dc:creator>
  <cp:lastModifiedBy>User</cp:lastModifiedBy>
  <cp:revision>8</cp:revision>
  <dcterms:created xsi:type="dcterms:W3CDTF">2021-10-28T06:07:00Z</dcterms:created>
  <dcterms:modified xsi:type="dcterms:W3CDTF">2022-08-12T05:40:00Z</dcterms:modified>
</cp:coreProperties>
</file>