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1CDF3" w14:textId="04C0ADB3" w:rsidR="00AF4776" w:rsidRPr="004316F7" w:rsidRDefault="0020179B">
      <w:pPr>
        <w:ind w:left="0" w:right="-143" w:hanging="2"/>
        <w:jc w:val="right"/>
        <w:rPr>
          <w:sz w:val="20"/>
          <w:szCs w:val="20"/>
          <w:lang w:val="ru-RU"/>
        </w:rPr>
      </w:pPr>
      <w:r w:rsidRPr="004316F7">
        <w:rPr>
          <w:b/>
          <w:sz w:val="20"/>
          <w:szCs w:val="20"/>
        </w:rPr>
        <w:t xml:space="preserve">Додаток </w:t>
      </w:r>
      <w:r w:rsidR="00091A3E" w:rsidRPr="004316F7">
        <w:rPr>
          <w:b/>
          <w:sz w:val="20"/>
          <w:szCs w:val="20"/>
          <w:lang w:val="ru-RU"/>
        </w:rPr>
        <w:t>5</w:t>
      </w:r>
    </w:p>
    <w:p w14:paraId="42169B40" w14:textId="77777777" w:rsidR="00AF4776" w:rsidRPr="004316F7" w:rsidRDefault="0020179B">
      <w:pPr>
        <w:ind w:left="0" w:right="-143" w:hanging="2"/>
        <w:jc w:val="right"/>
        <w:rPr>
          <w:sz w:val="20"/>
          <w:szCs w:val="20"/>
        </w:rPr>
      </w:pPr>
      <w:r w:rsidRPr="004316F7">
        <w:rPr>
          <w:sz w:val="20"/>
          <w:szCs w:val="20"/>
        </w:rPr>
        <w:t>до тендерної документації</w:t>
      </w:r>
    </w:p>
    <w:p w14:paraId="784EB406" w14:textId="77777777" w:rsidR="00AF4776" w:rsidRPr="004316F7" w:rsidRDefault="00AF4776">
      <w:pPr>
        <w:ind w:left="0" w:right="-143" w:hanging="2"/>
        <w:rPr>
          <w:b/>
          <w:sz w:val="20"/>
          <w:szCs w:val="20"/>
        </w:rPr>
      </w:pPr>
    </w:p>
    <w:p w14:paraId="7E5D38D8" w14:textId="77777777" w:rsidR="00AF4776" w:rsidRPr="004316F7" w:rsidRDefault="0020179B">
      <w:pPr>
        <w:tabs>
          <w:tab w:val="left" w:pos="180"/>
        </w:tabs>
        <w:ind w:left="0" w:right="-143" w:hanging="2"/>
        <w:jc w:val="center"/>
        <w:rPr>
          <w:b/>
        </w:rPr>
      </w:pPr>
      <w:r w:rsidRPr="004316F7">
        <w:rPr>
          <w:b/>
        </w:rPr>
        <w:t xml:space="preserve">Кваліфікаційні критерії та документи, </w:t>
      </w:r>
    </w:p>
    <w:p w14:paraId="595AC19C" w14:textId="77777777" w:rsidR="00AF4776" w:rsidRPr="004316F7" w:rsidRDefault="0020179B">
      <w:pPr>
        <w:tabs>
          <w:tab w:val="left" w:pos="180"/>
        </w:tabs>
        <w:ind w:left="0" w:right="-143" w:hanging="2"/>
        <w:jc w:val="center"/>
        <w:rPr>
          <w:b/>
        </w:rPr>
      </w:pPr>
      <w:r w:rsidRPr="004316F7">
        <w:rPr>
          <w:b/>
        </w:rPr>
        <w:t>які вимагаються для підтвердження відповідності учасника кваліфікаційним критеріям та іншим вимогам замовника</w:t>
      </w:r>
    </w:p>
    <w:p w14:paraId="09C2635A" w14:textId="77777777" w:rsidR="00AF4776" w:rsidRPr="004316F7" w:rsidRDefault="00AF4776">
      <w:pPr>
        <w:tabs>
          <w:tab w:val="left" w:pos="180"/>
        </w:tabs>
        <w:ind w:left="0" w:right="-143" w:hanging="2"/>
        <w:jc w:val="center"/>
        <w:rPr>
          <w:b/>
        </w:rPr>
      </w:pPr>
    </w:p>
    <w:p w14:paraId="016A39D5" w14:textId="77777777" w:rsidR="00AF4776" w:rsidRPr="004316F7" w:rsidRDefault="0020179B">
      <w:pPr>
        <w:pBdr>
          <w:top w:val="nil"/>
          <w:left w:val="nil"/>
          <w:bottom w:val="nil"/>
          <w:right w:val="nil"/>
          <w:between w:val="nil"/>
        </w:pBdr>
        <w:spacing w:line="240" w:lineRule="auto"/>
        <w:ind w:left="0" w:right="-143" w:hanging="2"/>
        <w:jc w:val="both"/>
        <w:rPr>
          <w:color w:val="000000"/>
        </w:rPr>
      </w:pPr>
      <w:r w:rsidRPr="004316F7">
        <w:t xml:space="preserve">Для участі у процедурі закупівлі </w:t>
      </w:r>
      <w:bookmarkStart w:id="0" w:name="_GoBack"/>
      <w:bookmarkEnd w:id="0"/>
      <w:r w:rsidRPr="004316F7">
        <w:t>учасники повинні відповідати кваліфікаційним критеріям та іншим вимогам наведеним у таблиці.</w:t>
      </w:r>
    </w:p>
    <w:p w14:paraId="63395474" w14:textId="77777777" w:rsidR="00AF4776" w:rsidRPr="004316F7" w:rsidRDefault="00AF4776">
      <w:pPr>
        <w:pBdr>
          <w:top w:val="nil"/>
          <w:left w:val="nil"/>
          <w:bottom w:val="nil"/>
          <w:right w:val="nil"/>
          <w:between w:val="nil"/>
        </w:pBdr>
        <w:spacing w:line="240" w:lineRule="auto"/>
        <w:ind w:left="0" w:hanging="2"/>
        <w:rPr>
          <w:color w:val="000000"/>
        </w:rPr>
      </w:pPr>
    </w:p>
    <w:tbl>
      <w:tblPr>
        <w:tblStyle w:val="a9"/>
        <w:tblW w:w="100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AF4776" w:rsidRPr="004316F7" w14:paraId="0D6A44B7" w14:textId="77777777">
        <w:tc>
          <w:tcPr>
            <w:tcW w:w="3174" w:type="dxa"/>
            <w:vAlign w:val="center"/>
          </w:tcPr>
          <w:p w14:paraId="2969C933" w14:textId="77777777" w:rsidR="00AF4776" w:rsidRPr="004316F7" w:rsidRDefault="0020179B">
            <w:pPr>
              <w:ind w:left="0" w:hanging="2"/>
              <w:jc w:val="center"/>
              <w:rPr>
                <w:b/>
                <w:color w:val="000000"/>
              </w:rPr>
            </w:pPr>
            <w:r w:rsidRPr="004316F7">
              <w:rPr>
                <w:b/>
                <w:color w:val="000000"/>
              </w:rPr>
              <w:t>Вимога</w:t>
            </w:r>
          </w:p>
        </w:tc>
        <w:tc>
          <w:tcPr>
            <w:tcW w:w="6837" w:type="dxa"/>
            <w:vAlign w:val="center"/>
          </w:tcPr>
          <w:p w14:paraId="5A586D69" w14:textId="77777777" w:rsidR="00AF4776" w:rsidRPr="004316F7" w:rsidRDefault="0020179B">
            <w:pPr>
              <w:ind w:left="0" w:hanging="2"/>
              <w:jc w:val="center"/>
              <w:rPr>
                <w:b/>
                <w:color w:val="000000"/>
              </w:rPr>
            </w:pPr>
            <w:r w:rsidRPr="004316F7">
              <w:rPr>
                <w:b/>
                <w:color w:val="000000"/>
              </w:rPr>
              <w:t>Підтвердження відповідності</w:t>
            </w:r>
          </w:p>
        </w:tc>
      </w:tr>
      <w:tr w:rsidR="00AF4776" w:rsidRPr="004316F7" w14:paraId="28AB7107" w14:textId="77777777">
        <w:trPr>
          <w:trHeight w:val="213"/>
        </w:trPr>
        <w:tc>
          <w:tcPr>
            <w:tcW w:w="10011" w:type="dxa"/>
            <w:gridSpan w:val="2"/>
          </w:tcPr>
          <w:p w14:paraId="40DAE5B7" w14:textId="77777777" w:rsidR="00AF4776" w:rsidRPr="004316F7" w:rsidRDefault="0020179B">
            <w:pPr>
              <w:ind w:left="0" w:hanging="2"/>
              <w:jc w:val="center"/>
              <w:rPr>
                <w:b/>
                <w:color w:val="000000"/>
              </w:rPr>
            </w:pPr>
            <w:r w:rsidRPr="004316F7">
              <w:rPr>
                <w:b/>
                <w:color w:val="000000"/>
              </w:rPr>
              <w:t>Розділ І. Перелік документів, що вимагаються від учасника</w:t>
            </w:r>
          </w:p>
        </w:tc>
      </w:tr>
      <w:tr w:rsidR="00AF4776" w:rsidRPr="004316F7" w14:paraId="4CA00771" w14:textId="77777777">
        <w:trPr>
          <w:trHeight w:val="338"/>
        </w:trPr>
        <w:tc>
          <w:tcPr>
            <w:tcW w:w="10011" w:type="dxa"/>
            <w:gridSpan w:val="2"/>
          </w:tcPr>
          <w:p w14:paraId="541BE153" w14:textId="77777777" w:rsidR="00AF4776" w:rsidRPr="004316F7" w:rsidRDefault="0020179B">
            <w:pPr>
              <w:ind w:left="0" w:hanging="2"/>
              <w:jc w:val="center"/>
              <w:rPr>
                <w:b/>
              </w:rPr>
            </w:pPr>
            <w:r w:rsidRPr="004316F7">
              <w:rPr>
                <w:b/>
              </w:rPr>
              <w:t>1. Кваліфікаційні критерії до учасника та спосіб їх документального підтвердження</w:t>
            </w:r>
          </w:p>
        </w:tc>
      </w:tr>
      <w:tr w:rsidR="00AF4776" w:rsidRPr="004316F7" w14:paraId="19E7AFC8" w14:textId="77777777" w:rsidTr="0049460B">
        <w:trPr>
          <w:trHeight w:val="883"/>
        </w:trPr>
        <w:tc>
          <w:tcPr>
            <w:tcW w:w="3174" w:type="dxa"/>
          </w:tcPr>
          <w:p w14:paraId="324A4F2C" w14:textId="77777777" w:rsidR="00AF4776" w:rsidRPr="004316F7" w:rsidRDefault="0020179B">
            <w:pPr>
              <w:ind w:left="0" w:hanging="2"/>
              <w:jc w:val="both"/>
              <w:rPr>
                <w:b/>
              </w:rPr>
            </w:pPr>
            <w:r w:rsidRPr="004316F7">
              <w:rPr>
                <w:b/>
              </w:rPr>
              <w:t>Кваліфікаційні критерії встановлені відповідно до статті 16 Закону</w:t>
            </w:r>
          </w:p>
        </w:tc>
        <w:tc>
          <w:tcPr>
            <w:tcW w:w="6837" w:type="dxa"/>
          </w:tcPr>
          <w:p w14:paraId="67CC0BA5" w14:textId="77777777" w:rsidR="00AF4776" w:rsidRPr="004316F7" w:rsidRDefault="0020179B">
            <w:pPr>
              <w:ind w:left="0" w:hanging="2"/>
              <w:jc w:val="both"/>
              <w:rPr>
                <w:b/>
              </w:rPr>
            </w:pPr>
            <w:r w:rsidRPr="004316F7">
              <w:rPr>
                <w:b/>
              </w:rPr>
              <w:t>Документальне підтвердження наявності кваліфікаційних критеріїв</w:t>
            </w:r>
          </w:p>
        </w:tc>
      </w:tr>
      <w:tr w:rsidR="008647AD" w:rsidRPr="004316F7" w14:paraId="78913036" w14:textId="77777777">
        <w:trPr>
          <w:trHeight w:val="2550"/>
        </w:trPr>
        <w:tc>
          <w:tcPr>
            <w:tcW w:w="3174" w:type="dxa"/>
          </w:tcPr>
          <w:p w14:paraId="684F4247" w14:textId="77777777" w:rsidR="008647AD" w:rsidRPr="004316F7" w:rsidRDefault="008647AD" w:rsidP="004844E1">
            <w:pPr>
              <w:pStyle w:val="aa"/>
              <w:numPr>
                <w:ilvl w:val="1"/>
                <w:numId w:val="1"/>
              </w:numPr>
              <w:tabs>
                <w:tab w:val="left" w:pos="900"/>
                <w:tab w:val="left" w:pos="2160"/>
              </w:tabs>
              <w:ind w:leftChars="0" w:left="0" w:right="-25" w:firstLineChars="0" w:firstLine="252"/>
              <w:jc w:val="both"/>
            </w:pPr>
            <w:r w:rsidRPr="004316F7">
              <w:rPr>
                <w:bCs/>
                <w:color w:val="000000"/>
              </w:rPr>
              <w:t>Наявність обладнання, матеріально-технічної бази та технологій</w:t>
            </w:r>
          </w:p>
        </w:tc>
        <w:tc>
          <w:tcPr>
            <w:tcW w:w="6837" w:type="dxa"/>
            <w:vAlign w:val="center"/>
          </w:tcPr>
          <w:p w14:paraId="43AE8798" w14:textId="3E9248CE" w:rsidR="00516B9B" w:rsidRPr="004316F7" w:rsidRDefault="0049460B" w:rsidP="00516B9B">
            <w:pPr>
              <w:spacing w:line="240" w:lineRule="auto"/>
              <w:ind w:left="0" w:hanging="2"/>
              <w:jc w:val="both"/>
              <w:rPr>
                <w:color w:val="0D0D0D"/>
                <w:sz w:val="20"/>
                <w:szCs w:val="20"/>
              </w:rPr>
            </w:pPr>
            <w:r w:rsidRPr="004316F7">
              <w:rPr>
                <w:color w:val="0D0D0D"/>
                <w:sz w:val="20"/>
                <w:szCs w:val="20"/>
              </w:rPr>
              <w:t xml:space="preserve">    </w:t>
            </w:r>
            <w:r w:rsidR="00516B9B" w:rsidRPr="004316F7">
              <w:rPr>
                <w:color w:val="0D0D0D"/>
                <w:sz w:val="20"/>
                <w:szCs w:val="20"/>
              </w:rPr>
              <w:t>Для підтвердження наявності обладнання, матеріально-технічної бази та технологій Учасник повинен  надати в складі тендерної пропозиції довідку в довільній формі, про наявність в учасника власного та/або залученого обладнання,  матеріально-технічної бази та технологій, необхідних для надання послуг, а саме:</w:t>
            </w:r>
          </w:p>
          <w:p w14:paraId="199497FB"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не менше двох транспортних засобів;</w:t>
            </w:r>
          </w:p>
          <w:p w14:paraId="74972FC7"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xml:space="preserve">- не менше двох тахеометрів із чинними </w:t>
            </w:r>
            <w:proofErr w:type="spellStart"/>
            <w:r w:rsidRPr="004316F7">
              <w:rPr>
                <w:color w:val="0D0D0D"/>
                <w:sz w:val="20"/>
                <w:szCs w:val="20"/>
              </w:rPr>
              <w:t>свідоцтвами</w:t>
            </w:r>
            <w:proofErr w:type="spellEnd"/>
            <w:r w:rsidRPr="004316F7">
              <w:rPr>
                <w:color w:val="0D0D0D"/>
                <w:sz w:val="20"/>
                <w:szCs w:val="20"/>
              </w:rPr>
              <w:t xml:space="preserve"> про повірку на кожний*;</w:t>
            </w:r>
          </w:p>
          <w:p w14:paraId="6710DCF4"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xml:space="preserve">- не менше двох GPS приймачів із чинними </w:t>
            </w:r>
            <w:proofErr w:type="spellStart"/>
            <w:r w:rsidRPr="004316F7">
              <w:rPr>
                <w:color w:val="0D0D0D"/>
                <w:sz w:val="20"/>
                <w:szCs w:val="20"/>
              </w:rPr>
              <w:t>свідоцтвами</w:t>
            </w:r>
            <w:proofErr w:type="spellEnd"/>
            <w:r w:rsidRPr="004316F7">
              <w:rPr>
                <w:color w:val="0D0D0D"/>
                <w:sz w:val="20"/>
                <w:szCs w:val="20"/>
              </w:rPr>
              <w:t xml:space="preserve"> про повірку на кожний*;</w:t>
            </w:r>
          </w:p>
          <w:p w14:paraId="0CF959A1"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не менше двох широкоформатних принтерів формату А0, А1 (</w:t>
            </w:r>
            <w:proofErr w:type="spellStart"/>
            <w:r w:rsidRPr="004316F7">
              <w:rPr>
                <w:color w:val="0D0D0D"/>
                <w:sz w:val="20"/>
                <w:szCs w:val="20"/>
              </w:rPr>
              <w:t>плоттери</w:t>
            </w:r>
            <w:proofErr w:type="spellEnd"/>
            <w:r w:rsidRPr="004316F7">
              <w:rPr>
                <w:color w:val="0D0D0D"/>
                <w:sz w:val="20"/>
                <w:szCs w:val="20"/>
              </w:rPr>
              <w:t xml:space="preserve"> або аналоги);</w:t>
            </w:r>
          </w:p>
          <w:p w14:paraId="54F038EC"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не менше двох кольорових принтерів формату А3;</w:t>
            </w:r>
          </w:p>
          <w:p w14:paraId="1EC4A1DC"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не менше чотирьох принтерів формату А4;</w:t>
            </w:r>
          </w:p>
          <w:p w14:paraId="78822C84"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комп’ютерів/ноутбуків у кількості, не меншій кількості працівників, які будуть залучені до надання послуг;</w:t>
            </w:r>
          </w:p>
          <w:p w14:paraId="34F2BB9D" w14:textId="77777777" w:rsidR="000D4895" w:rsidRPr="004316F7" w:rsidRDefault="000D4895" w:rsidP="00516B9B">
            <w:pPr>
              <w:spacing w:line="240" w:lineRule="auto"/>
              <w:ind w:left="0" w:hanging="2"/>
              <w:jc w:val="both"/>
              <w:rPr>
                <w:color w:val="0D0D0D"/>
                <w:sz w:val="20"/>
                <w:szCs w:val="20"/>
              </w:rPr>
            </w:pPr>
            <w:r w:rsidRPr="004316F7">
              <w:rPr>
                <w:color w:val="0D0D0D"/>
                <w:sz w:val="20"/>
                <w:szCs w:val="20"/>
              </w:rPr>
              <w:t>- захисного приладдя (бронежилетів) у кількості, не меншій кількості працівників, які будуть залучені до надання послуг**;</w:t>
            </w:r>
          </w:p>
          <w:p w14:paraId="5F145305"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xml:space="preserve">- відповідного ліцензійного програмного забезпечення </w:t>
            </w:r>
            <w:proofErr w:type="spellStart"/>
            <w:r w:rsidRPr="004316F7">
              <w:rPr>
                <w:color w:val="0D0D0D"/>
                <w:sz w:val="20"/>
                <w:szCs w:val="20"/>
              </w:rPr>
              <w:t>Digitals</w:t>
            </w:r>
            <w:proofErr w:type="spellEnd"/>
            <w:r w:rsidRPr="004316F7">
              <w:rPr>
                <w:color w:val="0D0D0D"/>
                <w:sz w:val="20"/>
                <w:szCs w:val="20"/>
              </w:rPr>
              <w:t xml:space="preserve"> (або аналог) у кількості, не меншій кількості працівників, які будуть залучені до надання послуг;</w:t>
            </w:r>
          </w:p>
          <w:p w14:paraId="29C1D09E"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відповідного ліцензійного програмного забезпечення GIS 6 (або аналог);</w:t>
            </w:r>
          </w:p>
          <w:p w14:paraId="0B6D0329"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xml:space="preserve">- офісного приміщення, розташованого у межах </w:t>
            </w:r>
            <w:r w:rsidR="00CA642C" w:rsidRPr="004316F7">
              <w:rPr>
                <w:color w:val="0D0D0D"/>
                <w:sz w:val="20"/>
                <w:szCs w:val="20"/>
                <w:lang w:val="ru-RU"/>
              </w:rPr>
              <w:t xml:space="preserve">м. </w:t>
            </w:r>
            <w:proofErr w:type="spellStart"/>
            <w:r w:rsidR="00CA642C" w:rsidRPr="004316F7">
              <w:rPr>
                <w:color w:val="0D0D0D"/>
                <w:sz w:val="20"/>
                <w:szCs w:val="20"/>
                <w:lang w:val="ru-RU"/>
              </w:rPr>
              <w:t>Запоріжжя</w:t>
            </w:r>
            <w:proofErr w:type="spellEnd"/>
            <w:r w:rsidRPr="004316F7">
              <w:rPr>
                <w:color w:val="0D0D0D"/>
                <w:sz w:val="20"/>
                <w:szCs w:val="20"/>
              </w:rPr>
              <w:t>.</w:t>
            </w:r>
          </w:p>
          <w:p w14:paraId="701EF37D"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xml:space="preserve">Для підтвердження наявності в учасника власного обладнання та матеріально-технічної бази, які зазначені в довідці, надати </w:t>
            </w:r>
            <w:proofErr w:type="spellStart"/>
            <w:r w:rsidRPr="004316F7">
              <w:rPr>
                <w:color w:val="0D0D0D"/>
                <w:sz w:val="20"/>
                <w:szCs w:val="20"/>
              </w:rPr>
              <w:t>оборотно</w:t>
            </w:r>
            <w:proofErr w:type="spellEnd"/>
            <w:r w:rsidRPr="004316F7">
              <w:rPr>
                <w:color w:val="0D0D0D"/>
                <w:sz w:val="20"/>
                <w:szCs w:val="20"/>
              </w:rPr>
              <w:t>-сальдову відомість, складену відповідно до вимог бухгалтерського обліку, або видаткові накладні, або договір купівлі-продажу із відповідним актом передачі-приймання обладнання.</w:t>
            </w:r>
          </w:p>
          <w:p w14:paraId="6E6FFA11"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Для підтвердження наявності в учасника орендованого обладнання та матеріально-технічної бази, які зазначені в довідці, надати копії договорів оренди (інших договорів користування) у повному обсязі з відповідними актами приймання-передачі обладнання.</w:t>
            </w:r>
          </w:p>
          <w:p w14:paraId="58D96186"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Для підтвердження наявності в учасника програмного забезпечення, яке зазначене в довідці, надати відповідні ліцензії або іншими передбачені законодавством документами.</w:t>
            </w:r>
          </w:p>
          <w:p w14:paraId="267F3B8E"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Додатково для підтвердження наявності в учасника транспортних засобів, які зазначені в довідці, надати свідоцтва про реєстрацію та/або інші правовстановлюючі документи згідно законодавства про майнові права. Якщо стороною договору оренди/користування транспортного засобу є фізична особа, Учасником надається договір оренди посвідчений нотаріусом.</w:t>
            </w:r>
          </w:p>
          <w:p w14:paraId="7A1C834F"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Додатково надати</w:t>
            </w:r>
            <w:r w:rsidRPr="004316F7">
              <w:rPr>
                <w:sz w:val="20"/>
                <w:szCs w:val="20"/>
              </w:rPr>
              <w:t xml:space="preserve"> </w:t>
            </w:r>
            <w:r w:rsidRPr="004316F7">
              <w:rPr>
                <w:color w:val="0D0D0D"/>
                <w:sz w:val="20"/>
                <w:szCs w:val="20"/>
              </w:rPr>
              <w:t xml:space="preserve">копії </w:t>
            </w:r>
            <w:proofErr w:type="spellStart"/>
            <w:r w:rsidRPr="004316F7">
              <w:rPr>
                <w:color w:val="0D0D0D"/>
                <w:sz w:val="20"/>
                <w:szCs w:val="20"/>
              </w:rPr>
              <w:t>свідоцтв</w:t>
            </w:r>
            <w:proofErr w:type="spellEnd"/>
            <w:r w:rsidRPr="004316F7">
              <w:rPr>
                <w:color w:val="0D0D0D"/>
                <w:sz w:val="20"/>
                <w:szCs w:val="20"/>
              </w:rPr>
              <w:t xml:space="preserve"> реєстрації супутникового обладнання GPS в реєстрі Державної служби України з питань геодезії, картографії та кадастру. Якщо Учасники придбали відповідне супутникове обладнання або уклали договори оренди (інші договори користування) щодо супутникового обладнання після втрати чинності постанови КМУ «Про Порядок </w:t>
            </w:r>
            <w:r w:rsidRPr="004316F7">
              <w:rPr>
                <w:color w:val="0D0D0D"/>
                <w:sz w:val="20"/>
                <w:szCs w:val="20"/>
              </w:rPr>
              <w:lastRenderedPageBreak/>
              <w:t xml:space="preserve">використання апаратури супутникових радіонавігаційних систем під час проведення топографо-геодезичних, картографічних, </w:t>
            </w:r>
            <w:proofErr w:type="spellStart"/>
            <w:r w:rsidRPr="004316F7">
              <w:rPr>
                <w:color w:val="0D0D0D"/>
                <w:sz w:val="20"/>
                <w:szCs w:val="20"/>
              </w:rPr>
              <w:t>аерофотознімальних</w:t>
            </w:r>
            <w:proofErr w:type="spellEnd"/>
            <w:r w:rsidRPr="004316F7">
              <w:rPr>
                <w:color w:val="0D0D0D"/>
                <w:sz w:val="20"/>
                <w:szCs w:val="20"/>
              </w:rPr>
              <w:t xml:space="preserve">, проектних, дослідницьких робіт і </w:t>
            </w:r>
            <w:proofErr w:type="spellStart"/>
            <w:r w:rsidRPr="004316F7">
              <w:rPr>
                <w:color w:val="0D0D0D"/>
                <w:sz w:val="20"/>
                <w:szCs w:val="20"/>
              </w:rPr>
              <w:t>вишукувань</w:t>
            </w:r>
            <w:proofErr w:type="spellEnd"/>
            <w:r w:rsidRPr="004316F7">
              <w:rPr>
                <w:color w:val="0D0D0D"/>
                <w:sz w:val="20"/>
                <w:szCs w:val="20"/>
              </w:rPr>
              <w:t xml:space="preserve"> та кадастрових зйомок» № 1075 від 13.07.1998 р., вони можуть вказати про цю обставину у роз’ясненні (довідка в довільній формі), і в такому разі відсутність реєстрації не вважатиметься порушенням умов тендерної документації.</w:t>
            </w:r>
          </w:p>
          <w:p w14:paraId="32E66DE7"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 xml:space="preserve">У разі, якщо Учасник має юридичну та фактичну адресу свого розташування поза межами Запорізькій області, надати інформацію щодо наявності регіонального представника або відокремленого підрозділу у Запорізькій області (відомості про який </w:t>
            </w:r>
            <w:proofErr w:type="spellStart"/>
            <w:r w:rsidRPr="004316F7">
              <w:rPr>
                <w:color w:val="0D0D0D"/>
                <w:sz w:val="20"/>
                <w:szCs w:val="20"/>
              </w:rPr>
              <w:t>внесено</w:t>
            </w:r>
            <w:proofErr w:type="spellEnd"/>
            <w:r w:rsidRPr="004316F7">
              <w:rPr>
                <w:color w:val="0D0D0D"/>
                <w:sz w:val="20"/>
                <w:szCs w:val="20"/>
              </w:rPr>
              <w:t xml:space="preserve"> до ЄДР).</w:t>
            </w:r>
          </w:p>
          <w:p w14:paraId="4D1308AA"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такий договір має бути нотаріально посвідчений.</w:t>
            </w:r>
          </w:p>
          <w:p w14:paraId="6E40421D" w14:textId="77777777" w:rsidR="00516B9B" w:rsidRPr="004316F7" w:rsidRDefault="00516B9B" w:rsidP="00516B9B">
            <w:pPr>
              <w:spacing w:line="240" w:lineRule="auto"/>
              <w:ind w:left="0" w:hanging="2"/>
              <w:jc w:val="both"/>
              <w:rPr>
                <w:color w:val="0D0D0D"/>
                <w:sz w:val="20"/>
                <w:szCs w:val="20"/>
              </w:rPr>
            </w:pPr>
            <w:r w:rsidRPr="004316F7">
              <w:rPr>
                <w:color w:val="0D0D0D"/>
                <w:sz w:val="20"/>
                <w:szCs w:val="20"/>
              </w:rPr>
              <w:t>У разі закінчення дії договору оренди/користування орендованого обладнання та матеріально-технічної бази, які зазначені в довідці, до кінцевого терміну надання послуг, учасник надає лист-гарантію про подовження дії відповідного договору оренди/користування.</w:t>
            </w:r>
          </w:p>
          <w:p w14:paraId="32354301" w14:textId="77777777" w:rsidR="00516B9B" w:rsidRPr="004316F7" w:rsidRDefault="00516B9B" w:rsidP="00516B9B">
            <w:pPr>
              <w:spacing w:line="240" w:lineRule="auto"/>
              <w:ind w:left="0" w:hanging="2"/>
              <w:jc w:val="both"/>
              <w:rPr>
                <w:color w:val="0D0D0D"/>
                <w:sz w:val="20"/>
                <w:szCs w:val="20"/>
              </w:rPr>
            </w:pPr>
          </w:p>
          <w:p w14:paraId="40584991" w14:textId="77777777" w:rsidR="00516B9B" w:rsidRPr="004316F7" w:rsidRDefault="00516B9B" w:rsidP="00516B9B">
            <w:pPr>
              <w:spacing w:line="240" w:lineRule="auto"/>
              <w:ind w:left="0" w:hanging="2"/>
              <w:jc w:val="both"/>
              <w:rPr>
                <w:i/>
                <w:sz w:val="20"/>
              </w:rPr>
            </w:pPr>
            <w:r w:rsidRPr="004316F7">
              <w:rPr>
                <w:i/>
                <w:sz w:val="20"/>
              </w:rPr>
              <w:t>Вимоги щодо наявності в Учасників процедури закупівлі певної кількості обладнання, матеріально-технічної бази та технологій встановлені з урахуванням великого об’єму послуг, які повинен надати Учасник процедури закупівлі.</w:t>
            </w:r>
          </w:p>
          <w:p w14:paraId="160B0F1A" w14:textId="77777777" w:rsidR="00516B9B" w:rsidRPr="004316F7" w:rsidRDefault="00516B9B" w:rsidP="00516B9B">
            <w:pPr>
              <w:spacing w:line="240" w:lineRule="auto"/>
              <w:ind w:left="0" w:hanging="2"/>
              <w:jc w:val="both"/>
              <w:rPr>
                <w:i/>
                <w:color w:val="FF0000"/>
                <w:sz w:val="20"/>
                <w:szCs w:val="20"/>
              </w:rPr>
            </w:pPr>
            <w:r w:rsidRPr="004316F7">
              <w:rPr>
                <w:i/>
                <w:sz w:val="20"/>
              </w:rPr>
              <w:t xml:space="preserve">Вимога щодо наявності в Учасників процедури закупівлі </w:t>
            </w:r>
            <w:r w:rsidRPr="004316F7">
              <w:rPr>
                <w:i/>
                <w:sz w:val="20"/>
                <w:szCs w:val="20"/>
              </w:rPr>
              <w:t xml:space="preserve">юридичної та фактичної адреси свого розташування у межах Запорізькій області або наявності регіонального представника або відокремленого підрозділу у Запорізькій області (відомості про який </w:t>
            </w:r>
            <w:proofErr w:type="spellStart"/>
            <w:r w:rsidRPr="004316F7">
              <w:rPr>
                <w:i/>
                <w:sz w:val="20"/>
                <w:szCs w:val="20"/>
              </w:rPr>
              <w:t>внесено</w:t>
            </w:r>
            <w:proofErr w:type="spellEnd"/>
            <w:r w:rsidRPr="004316F7">
              <w:rPr>
                <w:i/>
                <w:sz w:val="20"/>
                <w:szCs w:val="20"/>
              </w:rPr>
              <w:t xml:space="preserve"> до ЄДР) встановлена з урахуванням обов’язку надати Виконавцем Замовнику матеріали, які виготовлені у рамках Договору протягом 1 робочого дня, з моменту звернення до нього Замовника на будь-якому етапі виконання Договору. У такому випадку Замовник подає Виконавцю письмове звернення до 17:00 годин робочого дня, а Виконавець зобов’язаний надати Замовнику необхідні матеріали із супровідним листом до 17:00 годин наступного робочого дня.</w:t>
            </w:r>
          </w:p>
          <w:p w14:paraId="414F209A" w14:textId="77777777" w:rsidR="00516B9B" w:rsidRPr="004316F7" w:rsidRDefault="00516B9B" w:rsidP="00516B9B">
            <w:pPr>
              <w:spacing w:line="240" w:lineRule="auto"/>
              <w:ind w:left="0" w:hanging="2"/>
              <w:jc w:val="both"/>
              <w:rPr>
                <w:color w:val="0D0D0D"/>
                <w:sz w:val="20"/>
                <w:szCs w:val="20"/>
              </w:rPr>
            </w:pPr>
          </w:p>
          <w:p w14:paraId="13A28AB7" w14:textId="77777777" w:rsidR="007A674B" w:rsidRPr="004316F7" w:rsidRDefault="00516B9B" w:rsidP="00516B9B">
            <w:pPr>
              <w:tabs>
                <w:tab w:val="left" w:pos="900"/>
                <w:tab w:val="left" w:pos="2160"/>
              </w:tabs>
              <w:ind w:leftChars="0" w:left="0" w:right="-25" w:firstLineChars="82" w:firstLine="164"/>
              <w:jc w:val="both"/>
              <w:rPr>
                <w:i/>
                <w:sz w:val="20"/>
              </w:rPr>
            </w:pPr>
            <w:r w:rsidRPr="004316F7">
              <w:rPr>
                <w:i/>
                <w:sz w:val="20"/>
              </w:rPr>
              <w:t>*</w:t>
            </w:r>
            <w:r w:rsidRPr="004316F7">
              <w:t xml:space="preserve"> </w:t>
            </w:r>
            <w:r w:rsidRPr="004316F7">
              <w:rPr>
                <w:i/>
                <w:sz w:val="20"/>
              </w:rPr>
              <w:t xml:space="preserve">позитивні результати періодичної, позачергової повірки та повірки після ремонту законодавчо регульованих засобів вимірювальної техніки, засвідчені відбитком </w:t>
            </w:r>
            <w:proofErr w:type="spellStart"/>
            <w:r w:rsidRPr="004316F7">
              <w:rPr>
                <w:i/>
                <w:sz w:val="20"/>
              </w:rPr>
              <w:t>повірочного</w:t>
            </w:r>
            <w:proofErr w:type="spellEnd"/>
            <w:r w:rsidRPr="004316F7">
              <w:rPr>
                <w:i/>
                <w:sz w:val="20"/>
              </w:rPr>
              <w:t xml:space="preserve"> тавра на таких засобах чи записом з відбитком </w:t>
            </w:r>
            <w:proofErr w:type="spellStart"/>
            <w:r w:rsidRPr="004316F7">
              <w:rPr>
                <w:i/>
                <w:sz w:val="20"/>
              </w:rPr>
              <w:t>повірочного</w:t>
            </w:r>
            <w:proofErr w:type="spellEnd"/>
            <w:r w:rsidRPr="004316F7">
              <w:rPr>
                <w:i/>
                <w:sz w:val="20"/>
              </w:rPr>
              <w:t xml:space="preserve"> тавра у відповідному розділі експлуатаційних документів та/або оформлені свідоцтвом про повірку законодавчо регульованого засобу вимірювальної техніки, строк дії яких закінчився у період воєнного і надзвичайного стану та протягом місяця після його припинення чи скасування, чинні на період воєнного і надзвичайного стану та протягом трьох місяців після його припинення чи скасування на всій території України або в окремих її місцевостях (постанова КМУ від 05.04.2022 №412 «Деякі питання повірки законодавчо регульованих засобів вимірювальної техніки в умовах воєнного стану»).</w:t>
            </w:r>
          </w:p>
          <w:p w14:paraId="5DB04EFE" w14:textId="77777777" w:rsidR="008A4EE9" w:rsidRPr="004316F7" w:rsidRDefault="008A4EE9" w:rsidP="00516B9B">
            <w:pPr>
              <w:tabs>
                <w:tab w:val="left" w:pos="900"/>
                <w:tab w:val="left" w:pos="2160"/>
              </w:tabs>
              <w:ind w:leftChars="0" w:left="0" w:right="-25" w:firstLineChars="82" w:firstLine="164"/>
              <w:jc w:val="both"/>
              <w:rPr>
                <w:i/>
                <w:sz w:val="20"/>
              </w:rPr>
            </w:pPr>
          </w:p>
          <w:p w14:paraId="4FD34F2C" w14:textId="77777777" w:rsidR="008A4EE9" w:rsidRPr="004316F7" w:rsidRDefault="008A4EE9" w:rsidP="001A7769">
            <w:pPr>
              <w:tabs>
                <w:tab w:val="left" w:pos="900"/>
                <w:tab w:val="left" w:pos="2160"/>
              </w:tabs>
              <w:ind w:leftChars="0" w:left="0" w:right="-25" w:firstLineChars="82" w:firstLine="164"/>
              <w:jc w:val="both"/>
            </w:pPr>
            <w:r w:rsidRPr="004316F7">
              <w:rPr>
                <w:i/>
                <w:sz w:val="20"/>
              </w:rPr>
              <w:t>**</w:t>
            </w:r>
            <w:r w:rsidR="001A7769" w:rsidRPr="004316F7">
              <w:rPr>
                <w:i/>
                <w:sz w:val="20"/>
              </w:rPr>
              <w:t xml:space="preserve"> </w:t>
            </w:r>
            <w:r w:rsidR="001A7769" w:rsidRPr="004316F7">
              <w:rPr>
                <w:i/>
                <w:color w:val="0D0D0D"/>
                <w:sz w:val="20"/>
                <w:szCs w:val="20"/>
              </w:rPr>
              <w:t>Вимоги щодо наявності в Учасників процедури закупівлі певної кількості захисного приладдя (бронежилетів) встановлені з урахуванням приналежності місця виконання послуг до прифронтової території.</w:t>
            </w:r>
          </w:p>
        </w:tc>
      </w:tr>
      <w:tr w:rsidR="00712921" w:rsidRPr="004316F7" w14:paraId="01496590" w14:textId="77777777">
        <w:trPr>
          <w:trHeight w:val="2550"/>
        </w:trPr>
        <w:tc>
          <w:tcPr>
            <w:tcW w:w="3174" w:type="dxa"/>
          </w:tcPr>
          <w:p w14:paraId="74F370AA" w14:textId="77777777" w:rsidR="00712921" w:rsidRPr="004316F7" w:rsidRDefault="00712921" w:rsidP="004844E1">
            <w:pPr>
              <w:tabs>
                <w:tab w:val="left" w:pos="900"/>
                <w:tab w:val="left" w:pos="2160"/>
              </w:tabs>
              <w:ind w:left="-2" w:right="-25" w:firstLineChars="46" w:firstLine="110"/>
              <w:jc w:val="both"/>
            </w:pPr>
            <w:r w:rsidRPr="004316F7">
              <w:rPr>
                <w:spacing w:val="-1"/>
              </w:rPr>
              <w:lastRenderedPageBreak/>
              <w:t>1.2. Наявність працівників відповідної кваліфікації, які мають необхідні знання та досвід</w:t>
            </w:r>
          </w:p>
        </w:tc>
        <w:tc>
          <w:tcPr>
            <w:tcW w:w="6837" w:type="dxa"/>
            <w:vAlign w:val="center"/>
          </w:tcPr>
          <w:p w14:paraId="3A361D13"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Довідка у довільній формі з інформацією про посаду, освіту, спеціалізацію/кваліфікацію працівників, які мають необхідні знання та досвід, необхідних для виконання умов договору, та мають бути працевлаштовані в учасника за основним місцем роботи, а саме:</w:t>
            </w:r>
          </w:p>
          <w:p w14:paraId="49062A5C" w14:textId="66354C91" w:rsidR="00FE5F15" w:rsidRPr="004316F7" w:rsidRDefault="00FE5F15" w:rsidP="00FE5F15">
            <w:pPr>
              <w:spacing w:line="240" w:lineRule="auto"/>
              <w:ind w:left="0" w:hanging="2"/>
              <w:jc w:val="both"/>
              <w:rPr>
                <w:color w:val="0D0D0D"/>
                <w:sz w:val="20"/>
                <w:szCs w:val="20"/>
              </w:rPr>
            </w:pPr>
            <w:r w:rsidRPr="004316F7">
              <w:rPr>
                <w:color w:val="0D0D0D"/>
                <w:sz w:val="20"/>
                <w:szCs w:val="20"/>
              </w:rPr>
              <w:t>- не менше восьми працівників із землевпорядною або геодезичною вищою освітою (диплом спеціаліста або магістра), серед яких повинно бути не менше</w:t>
            </w:r>
            <w:r w:rsidR="00B9235E" w:rsidRPr="004316F7">
              <w:rPr>
                <w:color w:val="0D0D0D"/>
                <w:sz w:val="20"/>
                <w:szCs w:val="20"/>
              </w:rPr>
              <w:t xml:space="preserve"> п’яти</w:t>
            </w:r>
            <w:r w:rsidRPr="004316F7">
              <w:rPr>
                <w:color w:val="0D0D0D"/>
                <w:sz w:val="20"/>
                <w:szCs w:val="20"/>
              </w:rPr>
              <w:t xml:space="preserve"> сертифікованих інженерів-землевпорядників та двох сертифікованих інженерів-геодезистів;</w:t>
            </w:r>
          </w:p>
          <w:p w14:paraId="0C93D7B4"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не менше одного фахівця з юридичною (правовою) освітою.</w:t>
            </w:r>
          </w:p>
          <w:p w14:paraId="4A6A2745"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Щодо кожної вказаної у довідці особи Учасник надає підтверджуючі документи його кваліфікації та досвіду роботи:</w:t>
            </w:r>
          </w:p>
          <w:p w14:paraId="65715935"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копії документів (дипломів) про вищу освіту (спеціаліст, магістр) за спеціальністю та/або кваліфікацією у галузі землеустрою та/або землевпорядкування, що підтверджує отримання кваліфікації інженера-</w:t>
            </w:r>
            <w:r w:rsidRPr="004316F7">
              <w:rPr>
                <w:color w:val="0D0D0D"/>
                <w:sz w:val="20"/>
                <w:szCs w:val="20"/>
              </w:rPr>
              <w:lastRenderedPageBreak/>
              <w:t>землевпорядника/інженера геодезиста (на кожного відповідного працівника зазначеного в довідці);</w:t>
            </w:r>
          </w:p>
          <w:p w14:paraId="4878299C"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копії трудових книжок на кожного працівника (всі сторінки);</w:t>
            </w:r>
          </w:p>
          <w:p w14:paraId="44E119F7"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копії наказів про прийняття на роботу на кожного працівника, вказаного в довідці;</w:t>
            </w:r>
          </w:p>
          <w:p w14:paraId="0AADFFD6"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xml:space="preserve">- копії кваліфікаційних сертифікатів на кожного інженера-землевпорядника, зазначеного в Довідці, якого </w:t>
            </w:r>
            <w:proofErr w:type="spellStart"/>
            <w:r w:rsidRPr="004316F7">
              <w:rPr>
                <w:color w:val="0D0D0D"/>
                <w:sz w:val="20"/>
                <w:szCs w:val="20"/>
              </w:rPr>
              <w:t>внесено</w:t>
            </w:r>
            <w:proofErr w:type="spellEnd"/>
            <w:r w:rsidRPr="004316F7">
              <w:rPr>
                <w:color w:val="0D0D0D"/>
                <w:sz w:val="20"/>
                <w:szCs w:val="20"/>
              </w:rPr>
              <w:t xml:space="preserve"> до Державного реєстру сертифікованих інженерів-землевпорядників (стаж роботи за фахом сертифікованих інженерів-землевпорядників не повинен бути меншим чотирьох років з моменту отримання сертифікату);</w:t>
            </w:r>
          </w:p>
          <w:p w14:paraId="503C65D2"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xml:space="preserve">- копії кваліфікаційних сертифікатів на кожного інженера-геодезиста, зазначеного в Довідці, якого </w:t>
            </w:r>
            <w:proofErr w:type="spellStart"/>
            <w:r w:rsidRPr="004316F7">
              <w:rPr>
                <w:color w:val="0D0D0D"/>
                <w:sz w:val="20"/>
                <w:szCs w:val="20"/>
              </w:rPr>
              <w:t>внесено</w:t>
            </w:r>
            <w:proofErr w:type="spellEnd"/>
            <w:r w:rsidRPr="004316F7">
              <w:rPr>
                <w:color w:val="0D0D0D"/>
                <w:sz w:val="20"/>
                <w:szCs w:val="20"/>
              </w:rPr>
              <w:t xml:space="preserve"> до Державного реєстру сертифікованих інженерів-геодезистів, (стаж роботи за фахом сертифікованих інженерів-геодезистів не повинен бути меншим чотирьох років з моменту отримання сертифікату);</w:t>
            </w:r>
          </w:p>
          <w:p w14:paraId="381B0228"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xml:space="preserve">- копії </w:t>
            </w:r>
            <w:proofErr w:type="spellStart"/>
            <w:r w:rsidRPr="004316F7">
              <w:rPr>
                <w:color w:val="0D0D0D"/>
                <w:sz w:val="20"/>
                <w:szCs w:val="20"/>
              </w:rPr>
              <w:t>свідоцтв</w:t>
            </w:r>
            <w:proofErr w:type="spellEnd"/>
            <w:r w:rsidRPr="004316F7">
              <w:rPr>
                <w:color w:val="0D0D0D"/>
                <w:sz w:val="20"/>
                <w:szCs w:val="20"/>
              </w:rPr>
              <w:t xml:space="preserve"> про підвищення кваліфікації інженерів-землевпорядників/ інженерів-геодезистів (подається у разі виконання обов’язку підвищення кваліфікації цими спеціалістами у встановлений законом строк: сертифіковані інженери-землевпорядники/ інженери-геодезисти зобов’язані не рідше одного разу на чотири роки підвищувати кваліфікацію за програмою підвищення кваліфікації);</w:t>
            </w:r>
          </w:p>
          <w:p w14:paraId="7F2E7C56"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xml:space="preserve">- витяг з Державного реєстру сертифікованих інженерів-землевпорядників на кожного інженера-землевпорядника, зазначеного в Довідці, якого </w:t>
            </w:r>
            <w:proofErr w:type="spellStart"/>
            <w:r w:rsidRPr="004316F7">
              <w:rPr>
                <w:color w:val="0D0D0D"/>
                <w:sz w:val="20"/>
                <w:szCs w:val="20"/>
              </w:rPr>
              <w:t>внесено</w:t>
            </w:r>
            <w:proofErr w:type="spellEnd"/>
            <w:r w:rsidRPr="004316F7">
              <w:rPr>
                <w:color w:val="0D0D0D"/>
                <w:sz w:val="20"/>
                <w:szCs w:val="20"/>
              </w:rPr>
              <w:t xml:space="preserve"> до Державного реєстру сертифікованих інженерів-землевпорядників;</w:t>
            </w:r>
          </w:p>
          <w:p w14:paraId="3564FE35"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xml:space="preserve">- витяг з Державного реєстру сертифікованих інженерів-геодезистів на кожного інженера- геодезиста, зазначеного в Довідці, якого </w:t>
            </w:r>
            <w:proofErr w:type="spellStart"/>
            <w:r w:rsidRPr="004316F7">
              <w:rPr>
                <w:color w:val="0D0D0D"/>
                <w:sz w:val="20"/>
                <w:szCs w:val="20"/>
              </w:rPr>
              <w:t>внесено</w:t>
            </w:r>
            <w:proofErr w:type="spellEnd"/>
            <w:r w:rsidRPr="004316F7">
              <w:rPr>
                <w:color w:val="0D0D0D"/>
                <w:sz w:val="20"/>
                <w:szCs w:val="20"/>
              </w:rPr>
              <w:t xml:space="preserve"> до Державного реєстру сертифікованих інженерів- геодезистів;</w:t>
            </w:r>
          </w:p>
          <w:p w14:paraId="7E79009B"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копію документу (диплому) про вищу освіту (спеціаліст, магістр) за спеціальністю у галузі правознавство та/або кваліфікацією юрист для працівника зазначеного у Довідці у якості фахівця з юридичною (правовою) освітою;</w:t>
            </w:r>
          </w:p>
          <w:p w14:paraId="031933D9" w14:textId="3C371B4F" w:rsidR="00FE5F15" w:rsidRPr="004316F7" w:rsidRDefault="00FE5F15" w:rsidP="00FE5F15">
            <w:pPr>
              <w:spacing w:line="240" w:lineRule="auto"/>
              <w:ind w:left="0" w:hanging="2"/>
              <w:jc w:val="both"/>
              <w:rPr>
                <w:color w:val="0D0D0D"/>
                <w:sz w:val="20"/>
                <w:szCs w:val="20"/>
              </w:rPr>
            </w:pPr>
            <w:r w:rsidRPr="004316F7">
              <w:rPr>
                <w:color w:val="0D0D0D"/>
                <w:sz w:val="20"/>
                <w:szCs w:val="20"/>
              </w:rPr>
              <w:t xml:space="preserve">- копія наказу про призначення відповідальної особи за якість робіт із землеустрою. Відповідальною особою має бути сертифікований інженер-землевпорядник зі стажем роботи за фахом сертифікованого інженера-землевпорядника не менше </w:t>
            </w:r>
            <w:r w:rsidR="00051AD7" w:rsidRPr="004316F7">
              <w:rPr>
                <w:color w:val="0D0D0D"/>
                <w:sz w:val="20"/>
                <w:szCs w:val="20"/>
              </w:rPr>
              <w:t>десяти</w:t>
            </w:r>
            <w:r w:rsidRPr="004316F7">
              <w:rPr>
                <w:color w:val="0D0D0D"/>
                <w:sz w:val="20"/>
                <w:szCs w:val="20"/>
              </w:rPr>
              <w:t xml:space="preserve"> років з моменту отримання сертифікату;</w:t>
            </w:r>
          </w:p>
          <w:p w14:paraId="78E6B0EB"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копія наказу про призначення відповідальної особи за якість топографо-геодезичних і картографічних робіт. Відповідальною особою має бути сертифікований інженер-геодезист зі стажем роботи за фахом сертифікованого інженера-геодезиста не менше чотирьох років з моменту отримання сертифікату;</w:t>
            </w:r>
          </w:p>
          <w:p w14:paraId="451E2434"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 власноруч написаний лист-згода на доступ та обробку персональних даних від кожної особи, зазначеної в Довідці.</w:t>
            </w:r>
          </w:p>
          <w:p w14:paraId="305FC0F9" w14:textId="77777777" w:rsidR="00FE5F15" w:rsidRPr="004316F7" w:rsidRDefault="00FE5F15" w:rsidP="00FE5F15">
            <w:pPr>
              <w:spacing w:line="240" w:lineRule="auto"/>
              <w:ind w:left="0" w:hanging="2"/>
              <w:jc w:val="both"/>
              <w:rPr>
                <w:color w:val="0D0D0D"/>
                <w:sz w:val="20"/>
                <w:szCs w:val="20"/>
              </w:rPr>
            </w:pPr>
            <w:r w:rsidRPr="004316F7">
              <w:rPr>
                <w:color w:val="0D0D0D"/>
                <w:sz w:val="20"/>
                <w:szCs w:val="20"/>
              </w:rPr>
              <w:t>У разі закінчення терміну дії сертифікату інженера-землевпорядника/інженера-геодезиста до кінцевого терміну надання послуг, учасник та відповідний працівник надають лист-гарантію про підвищення кваліфікації та продовження дії сертифіката.</w:t>
            </w:r>
          </w:p>
          <w:p w14:paraId="647AE161" w14:textId="77777777" w:rsidR="00FE5F15" w:rsidRPr="004316F7" w:rsidRDefault="00FE5F15" w:rsidP="00FE5F15">
            <w:pPr>
              <w:spacing w:line="240" w:lineRule="auto"/>
              <w:ind w:left="0" w:hanging="2"/>
              <w:jc w:val="both"/>
              <w:rPr>
                <w:color w:val="0D0D0D"/>
                <w:sz w:val="20"/>
                <w:szCs w:val="20"/>
              </w:rPr>
            </w:pPr>
          </w:p>
          <w:p w14:paraId="592526AB" w14:textId="2F1A483B" w:rsidR="00CD4D48" w:rsidRPr="004316F7" w:rsidRDefault="00FE5F15" w:rsidP="00FE5F15">
            <w:pPr>
              <w:spacing w:line="240" w:lineRule="auto"/>
              <w:ind w:left="0" w:hanging="2"/>
              <w:jc w:val="both"/>
              <w:rPr>
                <w:i/>
                <w:color w:val="0D0D0D"/>
                <w:sz w:val="20"/>
                <w:szCs w:val="20"/>
              </w:rPr>
            </w:pPr>
            <w:r w:rsidRPr="004316F7">
              <w:rPr>
                <w:i/>
                <w:color w:val="0D0D0D"/>
                <w:sz w:val="20"/>
                <w:szCs w:val="20"/>
              </w:rPr>
              <w:t>Вимоги щодо наявності в Учасників процедури закупівлі певної кількості працівників встановлені з урахуванням великого об’єму послуг, які повинен надати Учасник процедури закупівлі</w:t>
            </w:r>
            <w:r w:rsidR="00662586" w:rsidRPr="004316F7">
              <w:rPr>
                <w:i/>
                <w:color w:val="0D0D0D"/>
                <w:sz w:val="20"/>
                <w:szCs w:val="20"/>
              </w:rPr>
              <w:t>,</w:t>
            </w:r>
            <w:r w:rsidR="00051AD7" w:rsidRPr="004316F7">
              <w:rPr>
                <w:i/>
                <w:color w:val="0D0D0D"/>
                <w:sz w:val="20"/>
                <w:szCs w:val="20"/>
              </w:rPr>
              <w:t xml:space="preserve"> та у </w:t>
            </w:r>
            <w:r w:rsidR="00662586" w:rsidRPr="004316F7">
              <w:rPr>
                <w:i/>
                <w:color w:val="0D0D0D"/>
                <w:sz w:val="20"/>
                <w:szCs w:val="20"/>
              </w:rPr>
              <w:t>зв’язку</w:t>
            </w:r>
            <w:r w:rsidR="00051AD7" w:rsidRPr="004316F7">
              <w:rPr>
                <w:i/>
                <w:color w:val="0D0D0D"/>
                <w:sz w:val="20"/>
                <w:szCs w:val="20"/>
              </w:rPr>
              <w:t xml:space="preserve"> із загостренням ситуації </w:t>
            </w:r>
            <w:r w:rsidR="00662586" w:rsidRPr="004316F7">
              <w:rPr>
                <w:i/>
                <w:color w:val="0D0D0D"/>
                <w:sz w:val="20"/>
                <w:szCs w:val="20"/>
              </w:rPr>
              <w:t xml:space="preserve">на Запорізькому напрямку, збільшення частоти ворожих ракетних обстрілів  Запорізького району та м. Запоріжжя  відповідно до  Наказу Міністерства з питань реінтеграції  тимчасово окупованих територій України  від 22.12.2022 року № 309, Розпорядження секретаря Запорізької міської ради  від 15.08.2023 року </w:t>
            </w:r>
          </w:p>
        </w:tc>
      </w:tr>
      <w:tr w:rsidR="00AF4776" w:rsidRPr="004316F7" w14:paraId="20ADF07E" w14:textId="77777777">
        <w:trPr>
          <w:trHeight w:val="2550"/>
        </w:trPr>
        <w:tc>
          <w:tcPr>
            <w:tcW w:w="3174" w:type="dxa"/>
          </w:tcPr>
          <w:p w14:paraId="77C9E6F4" w14:textId="77777777" w:rsidR="00AF4776" w:rsidRPr="004316F7" w:rsidRDefault="0020179B" w:rsidP="004844E1">
            <w:pPr>
              <w:tabs>
                <w:tab w:val="left" w:pos="900"/>
                <w:tab w:val="left" w:pos="2160"/>
              </w:tabs>
              <w:ind w:left="-2" w:right="-25" w:firstLineChars="45" w:firstLine="108"/>
              <w:jc w:val="both"/>
            </w:pPr>
            <w:r w:rsidRPr="004316F7">
              <w:lastRenderedPageBreak/>
              <w:t>1.</w:t>
            </w:r>
            <w:r w:rsidR="00E36A93" w:rsidRPr="004316F7">
              <w:t>3</w:t>
            </w:r>
            <w:r w:rsidRPr="004316F7">
              <w:t>. Наявність документально підтвердженого досвіду виконання аналогічного (аналогічних) за предметом закупівлі договору (договорів)</w:t>
            </w:r>
          </w:p>
        </w:tc>
        <w:tc>
          <w:tcPr>
            <w:tcW w:w="6837" w:type="dxa"/>
            <w:vAlign w:val="center"/>
          </w:tcPr>
          <w:p w14:paraId="17AE0DD7" w14:textId="77777777" w:rsidR="00FE5F15" w:rsidRPr="004316F7" w:rsidRDefault="00FE5F15" w:rsidP="00FE5F15">
            <w:pPr>
              <w:spacing w:line="240" w:lineRule="auto"/>
              <w:ind w:left="0" w:hanging="2"/>
              <w:jc w:val="both"/>
              <w:rPr>
                <w:sz w:val="20"/>
                <w:szCs w:val="20"/>
                <w:lang w:eastAsia="zh-CN"/>
              </w:rPr>
            </w:pPr>
            <w:r w:rsidRPr="004316F7">
              <w:rPr>
                <w:sz w:val="20"/>
                <w:szCs w:val="20"/>
                <w:lang w:eastAsia="zh-CN"/>
              </w:rPr>
              <w:t>Учасник зобов’язаний надати довідку про наявність досвіду виконання аналогічних за предметом закупівлі договорів за формою:</w:t>
            </w:r>
          </w:p>
          <w:tbl>
            <w:tblPr>
              <w:tblStyle w:val="ac"/>
              <w:tblW w:w="0" w:type="auto"/>
              <w:jc w:val="center"/>
              <w:tblLayout w:type="fixed"/>
              <w:tblLook w:val="04A0" w:firstRow="1" w:lastRow="0" w:firstColumn="1" w:lastColumn="0" w:noHBand="0" w:noVBand="1"/>
            </w:tblPr>
            <w:tblGrid>
              <w:gridCol w:w="858"/>
              <w:gridCol w:w="1547"/>
              <w:gridCol w:w="1276"/>
              <w:gridCol w:w="1276"/>
              <w:gridCol w:w="1559"/>
            </w:tblGrid>
            <w:tr w:rsidR="00FE5F15" w:rsidRPr="004316F7" w14:paraId="737FD1C2" w14:textId="77777777" w:rsidTr="00CA642C">
              <w:trPr>
                <w:jc w:val="center"/>
              </w:trPr>
              <w:tc>
                <w:tcPr>
                  <w:tcW w:w="858" w:type="dxa"/>
                </w:tcPr>
                <w:p w14:paraId="0B559F0A" w14:textId="77777777" w:rsidR="00FE5F15" w:rsidRPr="004316F7" w:rsidRDefault="00FE5F15" w:rsidP="00FE5F15">
                  <w:pPr>
                    <w:pStyle w:val="20"/>
                    <w:tabs>
                      <w:tab w:val="left" w:leader="underscore" w:pos="9125"/>
                    </w:tabs>
                    <w:ind w:hanging="2"/>
                    <w:textDirection w:val="btLr"/>
                    <w:rPr>
                      <w:rFonts w:ascii="Times New Roman" w:hAnsi="Times New Roman"/>
                      <w:sz w:val="16"/>
                      <w:szCs w:val="16"/>
                      <w:lang w:val="uk-UA"/>
                    </w:rPr>
                  </w:pPr>
                  <w:r w:rsidRPr="004316F7">
                    <w:rPr>
                      <w:rFonts w:ascii="Times New Roman" w:hAnsi="Times New Roman"/>
                      <w:sz w:val="16"/>
                      <w:szCs w:val="16"/>
                      <w:lang w:val="uk-UA"/>
                    </w:rPr>
                    <w:t>№ п/п</w:t>
                  </w:r>
                </w:p>
              </w:tc>
              <w:tc>
                <w:tcPr>
                  <w:tcW w:w="1547" w:type="dxa"/>
                </w:tcPr>
                <w:p w14:paraId="6EC3035E" w14:textId="77777777" w:rsidR="00FE5F15" w:rsidRPr="004316F7" w:rsidRDefault="00FE5F15" w:rsidP="00FE5F15">
                  <w:pPr>
                    <w:pStyle w:val="20"/>
                    <w:tabs>
                      <w:tab w:val="left" w:leader="underscore" w:pos="9125"/>
                    </w:tabs>
                    <w:ind w:hanging="2"/>
                    <w:jc w:val="center"/>
                    <w:textDirection w:val="btLr"/>
                    <w:rPr>
                      <w:rFonts w:ascii="Times New Roman" w:hAnsi="Times New Roman"/>
                      <w:sz w:val="16"/>
                      <w:szCs w:val="16"/>
                      <w:lang w:val="uk-UA"/>
                    </w:rPr>
                  </w:pPr>
                  <w:r w:rsidRPr="004316F7">
                    <w:rPr>
                      <w:rFonts w:ascii="Times New Roman" w:hAnsi="Times New Roman"/>
                      <w:bCs/>
                      <w:sz w:val="16"/>
                      <w:szCs w:val="16"/>
                      <w:lang w:val="uk-UA"/>
                    </w:rPr>
                    <w:t xml:space="preserve">Назва </w:t>
                  </w:r>
                  <w:r w:rsidRPr="004316F7">
                    <w:rPr>
                      <w:rFonts w:ascii="Times New Roman" w:hAnsi="Times New Roman"/>
                      <w:sz w:val="16"/>
                      <w:szCs w:val="16"/>
                      <w:lang w:val="uk-UA"/>
                    </w:rPr>
                    <w:t>контрагента з зазначенням коду ЄДРПОУ</w:t>
                  </w:r>
                </w:p>
              </w:tc>
              <w:tc>
                <w:tcPr>
                  <w:tcW w:w="1276" w:type="dxa"/>
                </w:tcPr>
                <w:p w14:paraId="4A652AF4" w14:textId="77777777" w:rsidR="00FE5F15" w:rsidRPr="004316F7" w:rsidRDefault="00FE5F15" w:rsidP="00FE5F15">
                  <w:pPr>
                    <w:pStyle w:val="20"/>
                    <w:tabs>
                      <w:tab w:val="left" w:leader="underscore" w:pos="9125"/>
                    </w:tabs>
                    <w:ind w:hanging="2"/>
                    <w:jc w:val="center"/>
                    <w:textDirection w:val="btLr"/>
                    <w:rPr>
                      <w:rFonts w:ascii="Times New Roman" w:hAnsi="Times New Roman"/>
                      <w:sz w:val="16"/>
                      <w:szCs w:val="16"/>
                      <w:lang w:val="uk-UA"/>
                    </w:rPr>
                  </w:pPr>
                  <w:r w:rsidRPr="004316F7">
                    <w:rPr>
                      <w:rFonts w:ascii="Times New Roman" w:hAnsi="Times New Roman"/>
                      <w:sz w:val="16"/>
                      <w:szCs w:val="16"/>
                      <w:lang w:val="uk-UA"/>
                    </w:rPr>
                    <w:t>Предмет договору</w:t>
                  </w:r>
                </w:p>
              </w:tc>
              <w:tc>
                <w:tcPr>
                  <w:tcW w:w="1276" w:type="dxa"/>
                </w:tcPr>
                <w:p w14:paraId="262DAB95" w14:textId="77777777" w:rsidR="00FE5F15" w:rsidRPr="004316F7" w:rsidRDefault="00FE5F15" w:rsidP="00FE5F15">
                  <w:pPr>
                    <w:pStyle w:val="20"/>
                    <w:tabs>
                      <w:tab w:val="left" w:leader="underscore" w:pos="9125"/>
                    </w:tabs>
                    <w:ind w:hanging="2"/>
                    <w:jc w:val="center"/>
                    <w:textDirection w:val="btLr"/>
                    <w:rPr>
                      <w:rFonts w:ascii="Times New Roman" w:hAnsi="Times New Roman"/>
                      <w:sz w:val="16"/>
                      <w:szCs w:val="16"/>
                      <w:lang w:val="uk-UA"/>
                    </w:rPr>
                  </w:pPr>
                  <w:r w:rsidRPr="004316F7">
                    <w:rPr>
                      <w:rFonts w:ascii="Times New Roman" w:hAnsi="Times New Roman"/>
                      <w:sz w:val="16"/>
                      <w:szCs w:val="16"/>
                      <w:lang w:val="uk-UA"/>
                    </w:rPr>
                    <w:t>Рік виконання договору</w:t>
                  </w:r>
                </w:p>
              </w:tc>
              <w:tc>
                <w:tcPr>
                  <w:tcW w:w="1559" w:type="dxa"/>
                </w:tcPr>
                <w:p w14:paraId="411C3DE8" w14:textId="77777777" w:rsidR="00FE5F15" w:rsidRPr="004316F7" w:rsidRDefault="00FE5F15" w:rsidP="00FE5F15">
                  <w:pPr>
                    <w:pStyle w:val="20"/>
                    <w:tabs>
                      <w:tab w:val="left" w:leader="underscore" w:pos="9125"/>
                    </w:tabs>
                    <w:ind w:hanging="2"/>
                    <w:jc w:val="center"/>
                    <w:textDirection w:val="btLr"/>
                    <w:rPr>
                      <w:rFonts w:ascii="Times New Roman" w:hAnsi="Times New Roman"/>
                      <w:sz w:val="16"/>
                      <w:szCs w:val="16"/>
                      <w:lang w:val="uk-UA"/>
                    </w:rPr>
                  </w:pPr>
                  <w:r w:rsidRPr="004316F7">
                    <w:rPr>
                      <w:rFonts w:ascii="Times New Roman" w:hAnsi="Times New Roman"/>
                      <w:sz w:val="16"/>
                      <w:szCs w:val="16"/>
                      <w:lang w:val="uk-UA"/>
                    </w:rPr>
                    <w:t>Адреса або контактні телефони контрагента</w:t>
                  </w:r>
                </w:p>
              </w:tc>
            </w:tr>
            <w:tr w:rsidR="00FE5F15" w:rsidRPr="004316F7" w14:paraId="31B44035" w14:textId="77777777" w:rsidTr="00CA642C">
              <w:trPr>
                <w:jc w:val="center"/>
              </w:trPr>
              <w:tc>
                <w:tcPr>
                  <w:tcW w:w="858" w:type="dxa"/>
                </w:tcPr>
                <w:p w14:paraId="099EEF93" w14:textId="77777777" w:rsidR="00FE5F15" w:rsidRPr="004316F7" w:rsidRDefault="00FE5F15" w:rsidP="00FE5F15">
                  <w:pPr>
                    <w:pStyle w:val="20"/>
                    <w:tabs>
                      <w:tab w:val="left" w:leader="underscore" w:pos="9125"/>
                    </w:tabs>
                    <w:ind w:hanging="2"/>
                    <w:jc w:val="both"/>
                    <w:textDirection w:val="btLr"/>
                    <w:rPr>
                      <w:rFonts w:ascii="Times New Roman" w:hAnsi="Times New Roman"/>
                      <w:sz w:val="16"/>
                      <w:szCs w:val="16"/>
                      <w:lang w:val="uk-UA"/>
                    </w:rPr>
                  </w:pPr>
                </w:p>
              </w:tc>
              <w:tc>
                <w:tcPr>
                  <w:tcW w:w="1547" w:type="dxa"/>
                </w:tcPr>
                <w:p w14:paraId="315983B0" w14:textId="77777777" w:rsidR="00FE5F15" w:rsidRPr="004316F7" w:rsidRDefault="00FE5F15" w:rsidP="00FE5F15">
                  <w:pPr>
                    <w:pStyle w:val="20"/>
                    <w:tabs>
                      <w:tab w:val="left" w:leader="underscore" w:pos="9125"/>
                    </w:tabs>
                    <w:ind w:hanging="2"/>
                    <w:jc w:val="both"/>
                    <w:textDirection w:val="btLr"/>
                    <w:rPr>
                      <w:rFonts w:ascii="Times New Roman" w:hAnsi="Times New Roman"/>
                      <w:sz w:val="16"/>
                      <w:szCs w:val="16"/>
                      <w:lang w:val="uk-UA"/>
                    </w:rPr>
                  </w:pPr>
                </w:p>
              </w:tc>
              <w:tc>
                <w:tcPr>
                  <w:tcW w:w="1276" w:type="dxa"/>
                </w:tcPr>
                <w:p w14:paraId="521DD3FF" w14:textId="77777777" w:rsidR="00FE5F15" w:rsidRPr="004316F7" w:rsidRDefault="00FE5F15" w:rsidP="00FE5F15">
                  <w:pPr>
                    <w:pStyle w:val="20"/>
                    <w:tabs>
                      <w:tab w:val="left" w:leader="underscore" w:pos="9125"/>
                    </w:tabs>
                    <w:ind w:hanging="2"/>
                    <w:jc w:val="both"/>
                    <w:textDirection w:val="btLr"/>
                    <w:rPr>
                      <w:rFonts w:ascii="Times New Roman" w:hAnsi="Times New Roman"/>
                      <w:sz w:val="16"/>
                      <w:szCs w:val="16"/>
                      <w:lang w:val="uk-UA"/>
                    </w:rPr>
                  </w:pPr>
                </w:p>
              </w:tc>
              <w:tc>
                <w:tcPr>
                  <w:tcW w:w="1276" w:type="dxa"/>
                </w:tcPr>
                <w:p w14:paraId="5D5ACE67" w14:textId="77777777" w:rsidR="00FE5F15" w:rsidRPr="004316F7" w:rsidRDefault="00FE5F15" w:rsidP="00FE5F15">
                  <w:pPr>
                    <w:pStyle w:val="20"/>
                    <w:tabs>
                      <w:tab w:val="left" w:leader="underscore" w:pos="9125"/>
                    </w:tabs>
                    <w:ind w:hanging="2"/>
                    <w:jc w:val="both"/>
                    <w:textDirection w:val="btLr"/>
                    <w:rPr>
                      <w:rFonts w:ascii="Times New Roman" w:hAnsi="Times New Roman"/>
                      <w:sz w:val="16"/>
                      <w:szCs w:val="16"/>
                      <w:lang w:val="uk-UA"/>
                    </w:rPr>
                  </w:pPr>
                </w:p>
              </w:tc>
              <w:tc>
                <w:tcPr>
                  <w:tcW w:w="1559" w:type="dxa"/>
                </w:tcPr>
                <w:p w14:paraId="7FAD2D6A" w14:textId="77777777" w:rsidR="00FE5F15" w:rsidRPr="004316F7" w:rsidRDefault="00FE5F15" w:rsidP="00FE5F15">
                  <w:pPr>
                    <w:pStyle w:val="20"/>
                    <w:tabs>
                      <w:tab w:val="left" w:leader="underscore" w:pos="9125"/>
                    </w:tabs>
                    <w:ind w:hanging="2"/>
                    <w:jc w:val="both"/>
                    <w:textDirection w:val="btLr"/>
                    <w:rPr>
                      <w:rFonts w:ascii="Times New Roman" w:hAnsi="Times New Roman"/>
                      <w:sz w:val="16"/>
                      <w:szCs w:val="16"/>
                      <w:lang w:val="uk-UA"/>
                    </w:rPr>
                  </w:pPr>
                </w:p>
              </w:tc>
            </w:tr>
          </w:tbl>
          <w:p w14:paraId="6B0FFF1A" w14:textId="77777777" w:rsidR="00FE5F15" w:rsidRPr="004316F7" w:rsidRDefault="00FE5F15" w:rsidP="00FE5F15">
            <w:pPr>
              <w:spacing w:line="240" w:lineRule="auto"/>
              <w:ind w:left="0" w:hanging="2"/>
              <w:contextualSpacing/>
              <w:jc w:val="both"/>
              <w:rPr>
                <w:sz w:val="20"/>
                <w:szCs w:val="20"/>
                <w:lang w:eastAsia="zh-CN"/>
              </w:rPr>
            </w:pPr>
          </w:p>
          <w:p w14:paraId="5FBA7E15" w14:textId="36DB131F" w:rsidR="00FE5F15" w:rsidRPr="004316F7" w:rsidRDefault="00FE5F15" w:rsidP="00FE5F15">
            <w:pPr>
              <w:spacing w:line="240" w:lineRule="auto"/>
              <w:ind w:left="0" w:hanging="2"/>
              <w:contextualSpacing/>
              <w:jc w:val="both"/>
              <w:rPr>
                <w:sz w:val="20"/>
                <w:szCs w:val="20"/>
                <w:lang w:eastAsia="zh-CN"/>
              </w:rPr>
            </w:pPr>
            <w:r w:rsidRPr="004316F7">
              <w:rPr>
                <w:sz w:val="20"/>
                <w:szCs w:val="20"/>
                <w:lang w:eastAsia="zh-CN"/>
              </w:rPr>
              <w:t>До зазначеної довідки необхідно надати наступні документи:</w:t>
            </w:r>
          </w:p>
          <w:p w14:paraId="1083CC5D" w14:textId="77777777" w:rsidR="00FE5F15" w:rsidRPr="004316F7" w:rsidRDefault="00FE5F15" w:rsidP="00FE5F15">
            <w:pPr>
              <w:spacing w:line="240" w:lineRule="auto"/>
              <w:ind w:left="0" w:hanging="2"/>
              <w:contextualSpacing/>
              <w:jc w:val="both"/>
              <w:rPr>
                <w:sz w:val="20"/>
                <w:szCs w:val="20"/>
                <w:lang w:eastAsia="zh-CN"/>
              </w:rPr>
            </w:pPr>
            <w:r w:rsidRPr="004316F7">
              <w:rPr>
                <w:sz w:val="20"/>
                <w:szCs w:val="20"/>
                <w:lang w:eastAsia="zh-CN"/>
              </w:rPr>
              <w:t>- копії договорів на аналогічні послуги* з усіма додатками, виконаних протягом 2020-2023 років (мають буди укладені із органами державної влади/місцевого самоврядування). При цьому максимальний строк складання документації із землеустрою не повинен перевищувати шести місяців з моменту укладення договору, відповідно до ст.28  Закону України «Про землеустрій» від 22 травня 2003 року № 858-IV із змінами та доповненнями);</w:t>
            </w:r>
          </w:p>
          <w:p w14:paraId="2B43D25F" w14:textId="77777777" w:rsidR="00FE5F15" w:rsidRPr="004316F7" w:rsidRDefault="00FE5F15" w:rsidP="00FE5F15">
            <w:pPr>
              <w:spacing w:line="240" w:lineRule="auto"/>
              <w:ind w:left="0" w:hanging="2"/>
              <w:contextualSpacing/>
              <w:jc w:val="both"/>
              <w:rPr>
                <w:sz w:val="20"/>
                <w:szCs w:val="20"/>
                <w:lang w:eastAsia="zh-CN"/>
              </w:rPr>
            </w:pPr>
            <w:r w:rsidRPr="004316F7">
              <w:rPr>
                <w:sz w:val="20"/>
                <w:szCs w:val="20"/>
                <w:lang w:eastAsia="zh-CN"/>
              </w:rPr>
              <w:t>- копії актів виконаних робіт/послуг, які свідчать про виконання договорів, зазначених у довідці;</w:t>
            </w:r>
          </w:p>
          <w:p w14:paraId="63EA3E08" w14:textId="77777777" w:rsidR="00FE5F15" w:rsidRPr="004316F7" w:rsidRDefault="00FE5F15" w:rsidP="00FE5F15">
            <w:pPr>
              <w:spacing w:line="240" w:lineRule="auto"/>
              <w:ind w:left="0" w:hanging="2"/>
              <w:contextualSpacing/>
              <w:jc w:val="both"/>
              <w:rPr>
                <w:sz w:val="20"/>
                <w:szCs w:val="20"/>
                <w:lang w:eastAsia="zh-CN"/>
              </w:rPr>
            </w:pPr>
            <w:r w:rsidRPr="004316F7">
              <w:rPr>
                <w:sz w:val="20"/>
                <w:szCs w:val="20"/>
                <w:lang w:eastAsia="zh-CN"/>
              </w:rPr>
              <w:t>- позитивні листи-відгуки від замовників, вказаних у довідці.</w:t>
            </w:r>
          </w:p>
          <w:p w14:paraId="2C5AA99A" w14:textId="7E9FAA02" w:rsidR="00FE5F15" w:rsidRPr="004316F7" w:rsidRDefault="00662586" w:rsidP="00FE5F15">
            <w:pPr>
              <w:spacing w:line="240" w:lineRule="auto"/>
              <w:ind w:left="0" w:hanging="2"/>
              <w:contextualSpacing/>
              <w:jc w:val="both"/>
              <w:rPr>
                <w:sz w:val="20"/>
                <w:szCs w:val="20"/>
                <w:lang w:eastAsia="zh-CN"/>
              </w:rPr>
            </w:pPr>
            <w:r w:rsidRPr="004316F7">
              <w:rPr>
                <w:sz w:val="20"/>
                <w:szCs w:val="20"/>
                <w:lang w:eastAsia="zh-CN"/>
              </w:rPr>
              <w:t>Сума аналогічного договору повинна бути не менше ніж оголошена в процедурі.</w:t>
            </w:r>
          </w:p>
          <w:p w14:paraId="2D29339E" w14:textId="77777777" w:rsidR="00AF4776" w:rsidRPr="004316F7" w:rsidRDefault="00FE5F15" w:rsidP="00FE5F15">
            <w:pPr>
              <w:tabs>
                <w:tab w:val="left" w:pos="900"/>
                <w:tab w:val="left" w:pos="2160"/>
              </w:tabs>
              <w:ind w:left="-2" w:right="-25" w:firstLineChars="72" w:firstLine="144"/>
              <w:jc w:val="both"/>
            </w:pPr>
            <w:r w:rsidRPr="004316F7">
              <w:rPr>
                <w:i/>
                <w:sz w:val="20"/>
                <w:szCs w:val="20"/>
                <w:lang w:eastAsia="zh-CN"/>
              </w:rPr>
              <w:t xml:space="preserve">*Учасник відповідає </w:t>
            </w:r>
            <w:proofErr w:type="spellStart"/>
            <w:r w:rsidRPr="004316F7">
              <w:rPr>
                <w:i/>
                <w:sz w:val="20"/>
                <w:szCs w:val="20"/>
                <w:lang w:eastAsia="zh-CN"/>
              </w:rPr>
              <w:t>вимозі</w:t>
            </w:r>
            <w:proofErr w:type="spellEnd"/>
            <w:r w:rsidRPr="004316F7">
              <w:rPr>
                <w:i/>
                <w:sz w:val="20"/>
                <w:szCs w:val="20"/>
                <w:lang w:eastAsia="zh-CN"/>
              </w:rPr>
              <w:t>, у разі наявності не менше двох виконаних аналогічних договорів щодо надання послуг з інвентаризації земель державної або комунальної власності.</w:t>
            </w:r>
          </w:p>
        </w:tc>
      </w:tr>
      <w:tr w:rsidR="0049460B" w:rsidRPr="004316F7" w14:paraId="151D7EF2" w14:textId="77777777">
        <w:trPr>
          <w:trHeight w:val="2550"/>
        </w:trPr>
        <w:tc>
          <w:tcPr>
            <w:tcW w:w="3174" w:type="dxa"/>
          </w:tcPr>
          <w:p w14:paraId="5FA233C2" w14:textId="262E28D8" w:rsidR="0049460B" w:rsidRPr="004316F7" w:rsidRDefault="0049460B" w:rsidP="004844E1">
            <w:pPr>
              <w:tabs>
                <w:tab w:val="left" w:pos="900"/>
                <w:tab w:val="left" w:pos="2160"/>
              </w:tabs>
              <w:ind w:left="-2" w:right="-25" w:firstLineChars="45" w:firstLine="108"/>
              <w:jc w:val="both"/>
            </w:pPr>
            <w:r w:rsidRPr="004316F7">
              <w:t xml:space="preserve">1.4 </w:t>
            </w:r>
            <w:r w:rsidRPr="004316F7">
              <w:rPr>
                <w:color w:val="0D0D0D"/>
              </w:rPr>
              <w:t>Наявність фінансової спроможності, яка підтверджується фінансовою звітністю</w:t>
            </w:r>
          </w:p>
        </w:tc>
        <w:tc>
          <w:tcPr>
            <w:tcW w:w="6837" w:type="dxa"/>
            <w:vAlign w:val="center"/>
          </w:tcPr>
          <w:p w14:paraId="1704FF80" w14:textId="77777777" w:rsidR="0049460B" w:rsidRPr="004316F7" w:rsidRDefault="0049460B" w:rsidP="0049460B">
            <w:pPr>
              <w:spacing w:line="240" w:lineRule="auto"/>
              <w:ind w:left="0" w:hanging="2"/>
              <w:contextualSpacing/>
              <w:jc w:val="both"/>
              <w:rPr>
                <w:bCs/>
                <w:color w:val="0D0D0D"/>
                <w:sz w:val="20"/>
                <w:szCs w:val="20"/>
              </w:rPr>
            </w:pPr>
            <w:r w:rsidRPr="004316F7">
              <w:rPr>
                <w:bCs/>
                <w:color w:val="0D0D0D"/>
                <w:sz w:val="20"/>
                <w:szCs w:val="20"/>
              </w:rPr>
              <w:t>Учасник має надати:</w:t>
            </w:r>
          </w:p>
          <w:p w14:paraId="35CA7D56" w14:textId="58ACB782" w:rsidR="0049460B" w:rsidRPr="004316F7" w:rsidRDefault="0049460B" w:rsidP="0049460B">
            <w:pPr>
              <w:spacing w:line="240" w:lineRule="auto"/>
              <w:ind w:left="0" w:hanging="2"/>
              <w:contextualSpacing/>
              <w:jc w:val="both"/>
              <w:rPr>
                <w:bCs/>
                <w:color w:val="0D0D0D"/>
                <w:sz w:val="20"/>
                <w:szCs w:val="20"/>
              </w:rPr>
            </w:pPr>
            <w:r w:rsidRPr="004316F7">
              <w:rPr>
                <w:bCs/>
                <w:color w:val="0D0D0D"/>
                <w:sz w:val="20"/>
                <w:szCs w:val="20"/>
              </w:rPr>
              <w:t>- копію форми №1 “Баланс” за звітний період 202</w:t>
            </w:r>
            <w:r w:rsidR="00C70AB0" w:rsidRPr="004316F7">
              <w:rPr>
                <w:bCs/>
                <w:color w:val="0D0D0D"/>
                <w:sz w:val="20"/>
                <w:szCs w:val="20"/>
              </w:rPr>
              <w:t>0</w:t>
            </w:r>
            <w:r w:rsidRPr="004316F7">
              <w:rPr>
                <w:bCs/>
                <w:color w:val="0D0D0D"/>
                <w:sz w:val="20"/>
                <w:szCs w:val="20"/>
              </w:rPr>
              <w:t xml:space="preserve"> рік або 202</w:t>
            </w:r>
            <w:r w:rsidR="00C70AB0" w:rsidRPr="004316F7">
              <w:rPr>
                <w:bCs/>
                <w:color w:val="0D0D0D"/>
                <w:sz w:val="20"/>
                <w:szCs w:val="20"/>
              </w:rPr>
              <w:t>1</w:t>
            </w:r>
            <w:r w:rsidRPr="004316F7">
              <w:rPr>
                <w:bCs/>
                <w:color w:val="0D0D0D"/>
                <w:sz w:val="20"/>
                <w:szCs w:val="20"/>
              </w:rPr>
              <w:t xml:space="preserve"> рік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балансу, фізична особа – підприємець подає фінансовий звіт суб’єкта малого підприємництва за 202</w:t>
            </w:r>
            <w:r w:rsidR="00C70AB0" w:rsidRPr="004316F7">
              <w:rPr>
                <w:bCs/>
                <w:color w:val="0D0D0D"/>
                <w:sz w:val="20"/>
                <w:szCs w:val="20"/>
              </w:rPr>
              <w:t>0</w:t>
            </w:r>
            <w:r w:rsidRPr="004316F7">
              <w:rPr>
                <w:bCs/>
                <w:color w:val="0D0D0D"/>
                <w:sz w:val="20"/>
                <w:szCs w:val="20"/>
              </w:rPr>
              <w:t xml:space="preserve"> рік або 202</w:t>
            </w:r>
            <w:r w:rsidR="00C70AB0" w:rsidRPr="004316F7">
              <w:rPr>
                <w:bCs/>
                <w:color w:val="0D0D0D"/>
                <w:sz w:val="20"/>
                <w:szCs w:val="20"/>
              </w:rPr>
              <w:t>1</w:t>
            </w:r>
            <w:r w:rsidRPr="004316F7">
              <w:rPr>
                <w:bCs/>
                <w:color w:val="0D0D0D"/>
                <w:sz w:val="20"/>
                <w:szCs w:val="20"/>
              </w:rPr>
              <w:t xml:space="preserve"> рік (у разі, якщо ведення такого документу не передбачено законодавством – пояснювальна записка);</w:t>
            </w:r>
          </w:p>
          <w:p w14:paraId="343709AF" w14:textId="5844CA6B" w:rsidR="0049460B" w:rsidRPr="004316F7" w:rsidRDefault="0049460B" w:rsidP="0049460B">
            <w:pPr>
              <w:spacing w:line="240" w:lineRule="auto"/>
              <w:ind w:left="0" w:hanging="2"/>
              <w:contextualSpacing/>
              <w:jc w:val="both"/>
              <w:rPr>
                <w:bCs/>
                <w:color w:val="0D0D0D"/>
                <w:sz w:val="20"/>
                <w:szCs w:val="20"/>
              </w:rPr>
            </w:pPr>
            <w:r w:rsidRPr="004316F7">
              <w:rPr>
                <w:bCs/>
                <w:color w:val="0D0D0D"/>
                <w:sz w:val="20"/>
                <w:szCs w:val="20"/>
              </w:rPr>
              <w:t>- копію форми №2 “Звіт про фінансові результати” за звітний період 202</w:t>
            </w:r>
            <w:r w:rsidR="00C70AB0" w:rsidRPr="004316F7">
              <w:rPr>
                <w:bCs/>
                <w:color w:val="0D0D0D"/>
                <w:sz w:val="20"/>
                <w:szCs w:val="20"/>
              </w:rPr>
              <w:t>0</w:t>
            </w:r>
            <w:r w:rsidRPr="004316F7">
              <w:rPr>
                <w:bCs/>
                <w:color w:val="0D0D0D"/>
                <w:sz w:val="20"/>
                <w:szCs w:val="20"/>
              </w:rPr>
              <w:t xml:space="preserve"> рік або 202</w:t>
            </w:r>
            <w:r w:rsidR="00C70AB0" w:rsidRPr="004316F7">
              <w:rPr>
                <w:bCs/>
                <w:color w:val="0D0D0D"/>
                <w:sz w:val="20"/>
                <w:szCs w:val="20"/>
              </w:rPr>
              <w:t>1</w:t>
            </w:r>
            <w:r w:rsidRPr="004316F7">
              <w:rPr>
                <w:bCs/>
                <w:color w:val="0D0D0D"/>
                <w:sz w:val="20"/>
                <w:szCs w:val="20"/>
              </w:rPr>
              <w:t xml:space="preserve"> рік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для фізичних осіб (підприємців) - фінансовий звіт суб’єкта малого підприємництва або копію декларації про одержані доходи за 202</w:t>
            </w:r>
            <w:r w:rsidR="00C70AB0" w:rsidRPr="004316F7">
              <w:rPr>
                <w:bCs/>
                <w:color w:val="0D0D0D"/>
                <w:sz w:val="20"/>
                <w:szCs w:val="20"/>
              </w:rPr>
              <w:t>0</w:t>
            </w:r>
            <w:r w:rsidRPr="004316F7">
              <w:rPr>
                <w:bCs/>
                <w:color w:val="0D0D0D"/>
                <w:sz w:val="20"/>
                <w:szCs w:val="20"/>
              </w:rPr>
              <w:t xml:space="preserve"> рік або 202</w:t>
            </w:r>
            <w:r w:rsidR="00C70AB0" w:rsidRPr="004316F7">
              <w:rPr>
                <w:bCs/>
                <w:color w:val="0D0D0D"/>
                <w:sz w:val="20"/>
                <w:szCs w:val="20"/>
              </w:rPr>
              <w:t>1</w:t>
            </w:r>
            <w:r w:rsidRPr="004316F7">
              <w:rPr>
                <w:bCs/>
                <w:color w:val="0D0D0D"/>
                <w:sz w:val="20"/>
                <w:szCs w:val="20"/>
              </w:rPr>
              <w:t xml:space="preserve"> рік (які перебувають на загальній системі оподаткування) або копію звіту по єдиному податку за 202</w:t>
            </w:r>
            <w:r w:rsidR="00C70AB0" w:rsidRPr="004316F7">
              <w:rPr>
                <w:bCs/>
                <w:color w:val="0D0D0D"/>
                <w:sz w:val="20"/>
                <w:szCs w:val="20"/>
              </w:rPr>
              <w:t>0</w:t>
            </w:r>
            <w:r w:rsidRPr="004316F7">
              <w:rPr>
                <w:bCs/>
                <w:color w:val="0D0D0D"/>
                <w:sz w:val="20"/>
                <w:szCs w:val="20"/>
              </w:rPr>
              <w:t xml:space="preserve"> рік або 202</w:t>
            </w:r>
            <w:r w:rsidR="00C70AB0" w:rsidRPr="004316F7">
              <w:rPr>
                <w:bCs/>
                <w:color w:val="0D0D0D"/>
                <w:sz w:val="20"/>
                <w:szCs w:val="20"/>
              </w:rPr>
              <w:t>1</w:t>
            </w:r>
            <w:r w:rsidRPr="004316F7">
              <w:rPr>
                <w:bCs/>
                <w:color w:val="0D0D0D"/>
                <w:sz w:val="20"/>
                <w:szCs w:val="20"/>
              </w:rPr>
              <w:t xml:space="preserve"> рік (які перебувають на спрощеній системі оподаткування), а в разі якщо документ подається в електронному вигляді,  з документом, що підтверджує подачу даної звітності (у разі, якщо ведення такого документу не передбачено законодавством – пояснювальна записка).</w:t>
            </w:r>
          </w:p>
          <w:p w14:paraId="3E7B5651" w14:textId="5C125B7C" w:rsidR="0049460B" w:rsidRPr="004316F7" w:rsidRDefault="0049460B" w:rsidP="0049460B">
            <w:pPr>
              <w:spacing w:line="240" w:lineRule="auto"/>
              <w:ind w:left="0" w:hanging="2"/>
              <w:contextualSpacing/>
              <w:jc w:val="both"/>
              <w:rPr>
                <w:bCs/>
                <w:color w:val="0D0D0D"/>
                <w:sz w:val="20"/>
                <w:szCs w:val="20"/>
              </w:rPr>
            </w:pPr>
            <w:r w:rsidRPr="004316F7">
              <w:rPr>
                <w:bCs/>
                <w:color w:val="0D0D0D"/>
                <w:sz w:val="20"/>
                <w:szCs w:val="20"/>
              </w:rPr>
              <w:t>На підтвердження фінансової спроможності учасник надає фінансову звітність за 202</w:t>
            </w:r>
            <w:r w:rsidR="00C70AB0" w:rsidRPr="004316F7">
              <w:rPr>
                <w:bCs/>
                <w:color w:val="0D0D0D"/>
                <w:sz w:val="20"/>
                <w:szCs w:val="20"/>
              </w:rPr>
              <w:t>0</w:t>
            </w:r>
            <w:r w:rsidRPr="004316F7">
              <w:rPr>
                <w:bCs/>
                <w:color w:val="0D0D0D"/>
                <w:sz w:val="20"/>
                <w:szCs w:val="20"/>
              </w:rPr>
              <w:t xml:space="preserve"> рік або 202</w:t>
            </w:r>
            <w:r w:rsidR="00C70AB0" w:rsidRPr="004316F7">
              <w:rPr>
                <w:bCs/>
                <w:color w:val="0D0D0D"/>
                <w:sz w:val="20"/>
                <w:szCs w:val="20"/>
              </w:rPr>
              <w:t>1</w:t>
            </w:r>
            <w:r w:rsidRPr="004316F7">
              <w:rPr>
                <w:bCs/>
                <w:color w:val="0D0D0D"/>
                <w:sz w:val="20"/>
                <w:szCs w:val="20"/>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1CAB2FCE" w14:textId="77777777" w:rsidR="0049460B" w:rsidRPr="004316F7" w:rsidRDefault="0049460B" w:rsidP="0049460B">
            <w:pPr>
              <w:spacing w:line="240" w:lineRule="auto"/>
              <w:ind w:left="0" w:hanging="2"/>
              <w:contextualSpacing/>
              <w:jc w:val="both"/>
              <w:rPr>
                <w:bCs/>
                <w:color w:val="0D0D0D"/>
                <w:sz w:val="20"/>
                <w:szCs w:val="20"/>
              </w:rPr>
            </w:pPr>
            <w:r w:rsidRPr="004316F7">
              <w:rPr>
                <w:bCs/>
                <w:color w:val="0D0D0D"/>
                <w:sz w:val="20"/>
                <w:szCs w:val="20"/>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E55A529" w14:textId="77777777" w:rsidR="0049460B" w:rsidRPr="004316F7" w:rsidRDefault="0049460B" w:rsidP="0049460B">
            <w:pPr>
              <w:spacing w:line="240" w:lineRule="auto"/>
              <w:ind w:left="0" w:hanging="2"/>
              <w:contextualSpacing/>
              <w:jc w:val="both"/>
              <w:rPr>
                <w:bCs/>
                <w:color w:val="0D0D0D"/>
                <w:sz w:val="20"/>
                <w:szCs w:val="20"/>
              </w:rPr>
            </w:pPr>
            <w:r w:rsidRPr="004316F7">
              <w:rPr>
                <w:bCs/>
                <w:color w:val="0D0D0D"/>
                <w:sz w:val="20"/>
                <w:szCs w:val="20"/>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66ADFFFE" w14:textId="77777777" w:rsidR="0049460B" w:rsidRPr="004316F7" w:rsidRDefault="0049460B" w:rsidP="0049460B">
            <w:pPr>
              <w:spacing w:line="240" w:lineRule="auto"/>
              <w:ind w:left="0" w:hanging="2"/>
              <w:contextualSpacing/>
              <w:jc w:val="both"/>
              <w:rPr>
                <w:bCs/>
                <w:color w:val="0D0D0D"/>
                <w:sz w:val="20"/>
                <w:szCs w:val="20"/>
              </w:rPr>
            </w:pPr>
            <w:r w:rsidRPr="004316F7">
              <w:rPr>
                <w:bCs/>
                <w:color w:val="0D0D0D"/>
                <w:sz w:val="20"/>
                <w:szCs w:val="20"/>
              </w:rPr>
              <w:t xml:space="preserve">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w:t>
            </w:r>
            <w:r w:rsidRPr="004316F7">
              <w:rPr>
                <w:bCs/>
                <w:color w:val="0D0D0D"/>
                <w:sz w:val="20"/>
                <w:szCs w:val="20"/>
              </w:rPr>
              <w:lastRenderedPageBreak/>
              <w:t>посиланнями на відповідні нормативно-правові акти. 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14:paraId="3C4294E8" w14:textId="7551091B" w:rsidR="0049460B" w:rsidRPr="004316F7" w:rsidRDefault="0049460B" w:rsidP="0049460B">
            <w:pPr>
              <w:spacing w:line="240" w:lineRule="auto"/>
              <w:ind w:left="0" w:hanging="2"/>
              <w:contextualSpacing/>
              <w:jc w:val="both"/>
              <w:rPr>
                <w:bCs/>
                <w:color w:val="0D0D0D"/>
                <w:sz w:val="20"/>
                <w:szCs w:val="20"/>
              </w:rPr>
            </w:pPr>
            <w:r w:rsidRPr="004316F7">
              <w:rPr>
                <w:bCs/>
                <w:color w:val="0D0D0D"/>
                <w:sz w:val="20"/>
                <w:szCs w:val="20"/>
              </w:rPr>
              <w:t>Сума чистого доходу учасника, відображена у Звіті про фінансові результати Учасника (форма №2, рядок 2000) за 202</w:t>
            </w:r>
            <w:r w:rsidR="00C70AB0" w:rsidRPr="004316F7">
              <w:rPr>
                <w:bCs/>
                <w:color w:val="0D0D0D"/>
                <w:sz w:val="20"/>
                <w:szCs w:val="20"/>
              </w:rPr>
              <w:t>0</w:t>
            </w:r>
            <w:r w:rsidRPr="004316F7">
              <w:rPr>
                <w:bCs/>
                <w:color w:val="0D0D0D"/>
                <w:sz w:val="20"/>
                <w:szCs w:val="20"/>
              </w:rPr>
              <w:t xml:space="preserve"> рік або 202</w:t>
            </w:r>
            <w:r w:rsidR="00C70AB0" w:rsidRPr="004316F7">
              <w:rPr>
                <w:bCs/>
                <w:color w:val="0D0D0D"/>
                <w:sz w:val="20"/>
                <w:szCs w:val="20"/>
              </w:rPr>
              <w:t>1</w:t>
            </w:r>
            <w:r w:rsidRPr="004316F7">
              <w:rPr>
                <w:bCs/>
                <w:color w:val="0D0D0D"/>
                <w:sz w:val="20"/>
                <w:szCs w:val="20"/>
              </w:rPr>
              <w:t xml:space="preserve"> рік є не меншою ніж 100% очікуваної вартості цієї закупівлі.</w:t>
            </w:r>
          </w:p>
          <w:p w14:paraId="6CA871AA" w14:textId="77777777" w:rsidR="0049460B" w:rsidRPr="004316F7" w:rsidRDefault="0049460B" w:rsidP="00FE5F15">
            <w:pPr>
              <w:spacing w:line="240" w:lineRule="auto"/>
              <w:ind w:left="0" w:hanging="2"/>
              <w:jc w:val="both"/>
              <w:rPr>
                <w:sz w:val="20"/>
                <w:szCs w:val="20"/>
                <w:lang w:eastAsia="zh-CN"/>
              </w:rPr>
            </w:pPr>
          </w:p>
        </w:tc>
      </w:tr>
      <w:tr w:rsidR="00AF4776" w:rsidRPr="004316F7" w14:paraId="4C518D2D" w14:textId="77777777">
        <w:trPr>
          <w:trHeight w:val="276"/>
        </w:trPr>
        <w:tc>
          <w:tcPr>
            <w:tcW w:w="10011" w:type="dxa"/>
            <w:gridSpan w:val="2"/>
            <w:vAlign w:val="center"/>
          </w:tcPr>
          <w:p w14:paraId="4BEFDF2D" w14:textId="2B791F41" w:rsidR="00AF4776" w:rsidRPr="004316F7" w:rsidRDefault="001D7CD2">
            <w:pPr>
              <w:widowControl w:val="0"/>
              <w:ind w:left="0" w:hanging="2"/>
              <w:jc w:val="center"/>
            </w:pPr>
            <w:r w:rsidRPr="004316F7">
              <w:rPr>
                <w:b/>
              </w:rPr>
              <w:lastRenderedPageBreak/>
              <w:t>2</w:t>
            </w:r>
            <w:r w:rsidR="0020179B" w:rsidRPr="004316F7">
              <w:rPr>
                <w:b/>
              </w:rPr>
              <w:t>. Інші документи</w:t>
            </w:r>
          </w:p>
        </w:tc>
      </w:tr>
      <w:tr w:rsidR="00AF4776" w14:paraId="4C56F655" w14:textId="77777777">
        <w:trPr>
          <w:trHeight w:val="219"/>
        </w:trPr>
        <w:tc>
          <w:tcPr>
            <w:tcW w:w="3174" w:type="dxa"/>
            <w:vAlign w:val="center"/>
          </w:tcPr>
          <w:p w14:paraId="6FA1CA4A" w14:textId="76523923" w:rsidR="00AF4776" w:rsidRPr="004316F7" w:rsidRDefault="001D7CD2">
            <w:pPr>
              <w:widowControl w:val="0"/>
              <w:ind w:left="0" w:hanging="2"/>
            </w:pPr>
            <w:r w:rsidRPr="004316F7">
              <w:t>2</w:t>
            </w:r>
            <w:r w:rsidR="0020179B" w:rsidRPr="004316F7">
              <w:t>.1. Інші вимоги</w:t>
            </w:r>
          </w:p>
        </w:tc>
        <w:tc>
          <w:tcPr>
            <w:tcW w:w="6837" w:type="dxa"/>
            <w:vAlign w:val="center"/>
          </w:tcPr>
          <w:p w14:paraId="2CDA7C02" w14:textId="7C3ABFFD" w:rsidR="00AF4776" w:rsidRPr="004316F7" w:rsidRDefault="001D7CD2" w:rsidP="006E5BFE">
            <w:pPr>
              <w:widowControl w:val="0"/>
              <w:ind w:left="-2" w:firstLineChars="132" w:firstLine="317"/>
              <w:jc w:val="both"/>
            </w:pPr>
            <w:r w:rsidRPr="004316F7">
              <w:t>2</w:t>
            </w:r>
            <w:r w:rsidR="0020179B" w:rsidRPr="004316F7">
              <w:t xml:space="preserve">.1.1. </w:t>
            </w:r>
            <w:bookmarkStart w:id="1" w:name="_heading=h.gjdgxs" w:colFirst="0" w:colLast="0"/>
            <w:bookmarkEnd w:id="1"/>
            <w:r w:rsidR="0020179B" w:rsidRPr="004316F7">
              <w:t>копія Статуту в останній чинній редакції (з відміткою державного реєстратора у разі реєстрації Статуту або внесення змін до Статуту (нова редакція) до 01.01.2016.) У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повинен додатково надати у складі тендерної пропозиції інформацію стосовно коду доступу за яким можливо здійснити перегляд чинних установчих документів юридичної особи (Статуту в новій редакції). У разі, якщо учасник створений та діє на підставі модельного статуту, учасник повинен додатково надати у складі тендерної пропозиції рішення засновників про створення такої юридичної особи;</w:t>
            </w:r>
          </w:p>
          <w:p w14:paraId="54D42DC5" w14:textId="46E4D8E9" w:rsidR="00AF4776" w:rsidRPr="004316F7" w:rsidRDefault="001D7CD2" w:rsidP="008647AD">
            <w:pPr>
              <w:tabs>
                <w:tab w:val="left" w:pos="133"/>
              </w:tabs>
              <w:ind w:left="-2" w:firstLineChars="132" w:firstLine="317"/>
              <w:jc w:val="both"/>
            </w:pPr>
            <w:r w:rsidRPr="004316F7">
              <w:t>2</w:t>
            </w:r>
            <w:r w:rsidR="0020179B" w:rsidRPr="004316F7">
              <w:t>.1.</w:t>
            </w:r>
            <w:r w:rsidR="006E5BFE" w:rsidRPr="004316F7">
              <w:t>2</w:t>
            </w:r>
            <w:r w:rsidR="0020179B" w:rsidRPr="004316F7">
              <w:t>. копія Витягу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Витяг обов’язково має містити:</w:t>
            </w:r>
          </w:p>
          <w:p w14:paraId="6AECBE9F" w14:textId="77777777" w:rsidR="00AF4776" w:rsidRPr="004316F7" w:rsidRDefault="0020179B" w:rsidP="008647AD">
            <w:pPr>
              <w:tabs>
                <w:tab w:val="left" w:pos="133"/>
              </w:tabs>
              <w:ind w:left="-2" w:firstLineChars="132" w:firstLine="317"/>
              <w:jc w:val="both"/>
            </w:pPr>
            <w:r w:rsidRPr="004316F7">
              <w:t>- відомості про керівника</w:t>
            </w:r>
            <w:r w:rsidR="00196585" w:rsidRPr="004316F7">
              <w:t xml:space="preserve"> учасника</w:t>
            </w:r>
            <w:r w:rsidRPr="004316F7">
              <w:t xml:space="preserve"> юридичної особи та про інших осіб (за наявності), які можуть вчиняти дії від імені</w:t>
            </w:r>
            <w:r w:rsidR="00196585" w:rsidRPr="004316F7">
              <w:t xml:space="preserve"> учасника</w:t>
            </w:r>
            <w:r w:rsidRPr="004316F7">
              <w:t xml:space="preserve"> юридичної особи, у тому числі підписувати договори, тощо: прізвище, ім’я, по батькові (за наявності);</w:t>
            </w:r>
          </w:p>
          <w:p w14:paraId="1759D4B9" w14:textId="77777777" w:rsidR="00AF4776" w:rsidRPr="004316F7" w:rsidRDefault="0020179B" w:rsidP="008647AD">
            <w:pPr>
              <w:tabs>
                <w:tab w:val="left" w:pos="133"/>
              </w:tabs>
              <w:ind w:left="-2" w:firstLineChars="132" w:firstLine="317"/>
              <w:jc w:val="both"/>
            </w:pPr>
            <w:r w:rsidRPr="004316F7">
              <w:t>- дані про хронологію реєстраційних дій.</w:t>
            </w:r>
          </w:p>
          <w:p w14:paraId="6C427387" w14:textId="5A71B34B" w:rsidR="00821C24" w:rsidRDefault="001D7CD2" w:rsidP="006E5BFE">
            <w:pPr>
              <w:tabs>
                <w:tab w:val="left" w:pos="133"/>
              </w:tabs>
              <w:ind w:left="-2" w:firstLineChars="132" w:firstLine="317"/>
              <w:jc w:val="both"/>
              <w:rPr>
                <w:color w:val="000000"/>
              </w:rPr>
            </w:pPr>
            <w:r w:rsidRPr="004316F7">
              <w:t>2</w:t>
            </w:r>
            <w:r w:rsidR="0020179B" w:rsidRPr="004316F7">
              <w:t>.1.</w:t>
            </w:r>
            <w:r w:rsidR="006E5BFE" w:rsidRPr="004316F7">
              <w:t>3</w:t>
            </w:r>
            <w:r w:rsidR="0020179B" w:rsidRPr="004316F7">
              <w:t xml:space="preserve">. Довідка у довільній формі, якою підтверджується, що учасник не є </w:t>
            </w:r>
            <w:r w:rsidR="0020179B" w:rsidRPr="004316F7">
              <w:rPr>
                <w:color w:val="333333"/>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0179B" w:rsidRPr="004316F7">
              <w:rPr>
                <w:color w:val="333333"/>
              </w:rPr>
              <w:t>бенефіціарним</w:t>
            </w:r>
            <w:proofErr w:type="spellEnd"/>
            <w:r w:rsidR="0020179B" w:rsidRPr="004316F7">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bl>
    <w:p w14:paraId="3F34F11F" w14:textId="77777777" w:rsidR="00AF4776" w:rsidRDefault="00AF4776" w:rsidP="008647AD">
      <w:pPr>
        <w:ind w:left="-2" w:firstLineChars="118" w:firstLine="283"/>
      </w:pPr>
    </w:p>
    <w:sectPr w:rsidR="00AF4776" w:rsidSect="004B4CDD">
      <w:pgSz w:w="11906" w:h="16838"/>
      <w:pgMar w:top="850" w:right="850" w:bottom="850"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F12"/>
    <w:multiLevelType w:val="multilevel"/>
    <w:tmpl w:val="0B30A808"/>
    <w:lvl w:ilvl="0">
      <w:start w:val="1"/>
      <w:numFmt w:val="decimal"/>
      <w:lvlText w:val="%1."/>
      <w:lvlJc w:val="left"/>
      <w:pPr>
        <w:ind w:left="360" w:hanging="360"/>
      </w:pPr>
      <w:rPr>
        <w:rFonts w:hint="default"/>
        <w:color w:val="000000"/>
      </w:rPr>
    </w:lvl>
    <w:lvl w:ilvl="1">
      <w:start w:val="1"/>
      <w:numFmt w:val="decimal"/>
      <w:lvlText w:val="%1.%2."/>
      <w:lvlJc w:val="left"/>
      <w:pPr>
        <w:ind w:left="358" w:hanging="360"/>
      </w:pPr>
      <w:rPr>
        <w:rFonts w:hint="default"/>
        <w:color w:val="000000"/>
      </w:rPr>
    </w:lvl>
    <w:lvl w:ilvl="2">
      <w:start w:val="1"/>
      <w:numFmt w:val="decimal"/>
      <w:lvlText w:val="%1.%2.%3."/>
      <w:lvlJc w:val="left"/>
      <w:pPr>
        <w:ind w:left="716" w:hanging="720"/>
      </w:pPr>
      <w:rPr>
        <w:rFonts w:hint="default"/>
        <w:color w:val="000000"/>
      </w:rPr>
    </w:lvl>
    <w:lvl w:ilvl="3">
      <w:start w:val="1"/>
      <w:numFmt w:val="decimal"/>
      <w:lvlText w:val="%1.%2.%3.%4."/>
      <w:lvlJc w:val="left"/>
      <w:pPr>
        <w:ind w:left="714" w:hanging="720"/>
      </w:pPr>
      <w:rPr>
        <w:rFonts w:hint="default"/>
        <w:color w:val="000000"/>
      </w:rPr>
    </w:lvl>
    <w:lvl w:ilvl="4">
      <w:start w:val="1"/>
      <w:numFmt w:val="decimal"/>
      <w:lvlText w:val="%1.%2.%3.%4.%5."/>
      <w:lvlJc w:val="left"/>
      <w:pPr>
        <w:ind w:left="1072" w:hanging="1080"/>
      </w:pPr>
      <w:rPr>
        <w:rFonts w:hint="default"/>
        <w:color w:val="000000"/>
      </w:rPr>
    </w:lvl>
    <w:lvl w:ilvl="5">
      <w:start w:val="1"/>
      <w:numFmt w:val="decimal"/>
      <w:lvlText w:val="%1.%2.%3.%4.%5.%6."/>
      <w:lvlJc w:val="left"/>
      <w:pPr>
        <w:ind w:left="1070" w:hanging="1080"/>
      </w:pPr>
      <w:rPr>
        <w:rFonts w:hint="default"/>
        <w:color w:val="000000"/>
      </w:rPr>
    </w:lvl>
    <w:lvl w:ilvl="6">
      <w:start w:val="1"/>
      <w:numFmt w:val="decimal"/>
      <w:lvlText w:val="%1.%2.%3.%4.%5.%6.%7."/>
      <w:lvlJc w:val="left"/>
      <w:pPr>
        <w:ind w:left="1428" w:hanging="1440"/>
      </w:pPr>
      <w:rPr>
        <w:rFonts w:hint="default"/>
        <w:color w:val="000000"/>
      </w:rPr>
    </w:lvl>
    <w:lvl w:ilvl="7">
      <w:start w:val="1"/>
      <w:numFmt w:val="decimal"/>
      <w:lvlText w:val="%1.%2.%3.%4.%5.%6.%7.%8."/>
      <w:lvlJc w:val="left"/>
      <w:pPr>
        <w:ind w:left="1426" w:hanging="1440"/>
      </w:pPr>
      <w:rPr>
        <w:rFonts w:hint="default"/>
        <w:color w:val="000000"/>
      </w:rPr>
    </w:lvl>
    <w:lvl w:ilvl="8">
      <w:start w:val="1"/>
      <w:numFmt w:val="decimal"/>
      <w:lvlText w:val="%1.%2.%3.%4.%5.%6.%7.%8.%9."/>
      <w:lvlJc w:val="left"/>
      <w:pPr>
        <w:ind w:left="1784" w:hanging="1800"/>
      </w:pPr>
      <w:rPr>
        <w:rFonts w:hint="default"/>
        <w:color w:val="000000"/>
      </w:rPr>
    </w:lvl>
  </w:abstractNum>
  <w:abstractNum w:abstractNumId="1" w15:restartNumberingAfterBreak="0">
    <w:nsid w:val="47490088"/>
    <w:multiLevelType w:val="hybridMultilevel"/>
    <w:tmpl w:val="79E4801E"/>
    <w:lvl w:ilvl="0" w:tplc="7F127A1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 w15:restartNumberingAfterBreak="0">
    <w:nsid w:val="5F9F1A38"/>
    <w:multiLevelType w:val="hybridMultilevel"/>
    <w:tmpl w:val="FB28E96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4776"/>
    <w:rsid w:val="000210C1"/>
    <w:rsid w:val="00051AD7"/>
    <w:rsid w:val="00074D40"/>
    <w:rsid w:val="00091A3E"/>
    <w:rsid w:val="00093820"/>
    <w:rsid w:val="000A54CC"/>
    <w:rsid w:val="000D4895"/>
    <w:rsid w:val="00196585"/>
    <w:rsid w:val="001A7769"/>
    <w:rsid w:val="001C611A"/>
    <w:rsid w:val="001D7CD2"/>
    <w:rsid w:val="001E2B61"/>
    <w:rsid w:val="0020179B"/>
    <w:rsid w:val="00204E23"/>
    <w:rsid w:val="00222945"/>
    <w:rsid w:val="00246780"/>
    <w:rsid w:val="003176E4"/>
    <w:rsid w:val="003403C0"/>
    <w:rsid w:val="00370F7C"/>
    <w:rsid w:val="00375357"/>
    <w:rsid w:val="003A70F1"/>
    <w:rsid w:val="004316F7"/>
    <w:rsid w:val="004844E1"/>
    <w:rsid w:val="0049460B"/>
    <w:rsid w:val="004A36AB"/>
    <w:rsid w:val="004B4CDD"/>
    <w:rsid w:val="00516B9B"/>
    <w:rsid w:val="005304B5"/>
    <w:rsid w:val="00534E7C"/>
    <w:rsid w:val="005D0B51"/>
    <w:rsid w:val="005F03F6"/>
    <w:rsid w:val="00636D0C"/>
    <w:rsid w:val="00660C6A"/>
    <w:rsid w:val="00662586"/>
    <w:rsid w:val="006A68B5"/>
    <w:rsid w:val="006E5BFE"/>
    <w:rsid w:val="00712921"/>
    <w:rsid w:val="00764BDE"/>
    <w:rsid w:val="007A24D5"/>
    <w:rsid w:val="007A674B"/>
    <w:rsid w:val="007A6C9C"/>
    <w:rsid w:val="007E31DD"/>
    <w:rsid w:val="008036BA"/>
    <w:rsid w:val="00821C24"/>
    <w:rsid w:val="008647AD"/>
    <w:rsid w:val="008A4EE9"/>
    <w:rsid w:val="009016BE"/>
    <w:rsid w:val="00912DE1"/>
    <w:rsid w:val="00915CF0"/>
    <w:rsid w:val="00985C1F"/>
    <w:rsid w:val="009E5AAA"/>
    <w:rsid w:val="00A3543D"/>
    <w:rsid w:val="00A96500"/>
    <w:rsid w:val="00AC5110"/>
    <w:rsid w:val="00AF4776"/>
    <w:rsid w:val="00B724FE"/>
    <w:rsid w:val="00B9235E"/>
    <w:rsid w:val="00BC658D"/>
    <w:rsid w:val="00BC7C04"/>
    <w:rsid w:val="00C048B8"/>
    <w:rsid w:val="00C57FF6"/>
    <w:rsid w:val="00C70AB0"/>
    <w:rsid w:val="00CA642C"/>
    <w:rsid w:val="00CB0DE7"/>
    <w:rsid w:val="00CD495D"/>
    <w:rsid w:val="00CD4D48"/>
    <w:rsid w:val="00CE1B30"/>
    <w:rsid w:val="00D10AA1"/>
    <w:rsid w:val="00D43299"/>
    <w:rsid w:val="00D46723"/>
    <w:rsid w:val="00D5230D"/>
    <w:rsid w:val="00D8317B"/>
    <w:rsid w:val="00E235A1"/>
    <w:rsid w:val="00E36A93"/>
    <w:rsid w:val="00EC3E75"/>
    <w:rsid w:val="00EE77D9"/>
    <w:rsid w:val="00FE5F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AE98"/>
  <w15:docId w15:val="{D55884ED-DD15-4786-B3CE-1A3B723E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uk-UA"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B7495"/>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rsid w:val="004B4CDD"/>
    <w:pPr>
      <w:keepNext/>
      <w:keepLines/>
      <w:spacing w:before="480" w:after="120"/>
    </w:pPr>
    <w:rPr>
      <w:b/>
      <w:sz w:val="48"/>
      <w:szCs w:val="48"/>
    </w:rPr>
  </w:style>
  <w:style w:type="paragraph" w:styleId="2">
    <w:name w:val="heading 2"/>
    <w:basedOn w:val="a"/>
    <w:next w:val="a"/>
    <w:rsid w:val="004B4CDD"/>
    <w:pPr>
      <w:keepNext/>
      <w:keepLines/>
      <w:spacing w:before="360" w:after="80"/>
      <w:outlineLvl w:val="1"/>
    </w:pPr>
    <w:rPr>
      <w:b/>
      <w:sz w:val="36"/>
      <w:szCs w:val="36"/>
    </w:rPr>
  </w:style>
  <w:style w:type="paragraph" w:styleId="3">
    <w:name w:val="heading 3"/>
    <w:basedOn w:val="a"/>
    <w:next w:val="a"/>
    <w:rsid w:val="004B4CDD"/>
    <w:pPr>
      <w:keepNext/>
      <w:keepLines/>
      <w:spacing w:before="280" w:after="80"/>
      <w:outlineLvl w:val="2"/>
    </w:pPr>
    <w:rPr>
      <w:b/>
      <w:sz w:val="28"/>
      <w:szCs w:val="28"/>
    </w:rPr>
  </w:style>
  <w:style w:type="paragraph" w:styleId="4">
    <w:name w:val="heading 4"/>
    <w:basedOn w:val="a"/>
    <w:next w:val="a"/>
    <w:rsid w:val="004B4CDD"/>
    <w:pPr>
      <w:keepNext/>
      <w:keepLines/>
      <w:spacing w:before="240" w:after="40"/>
      <w:outlineLvl w:val="3"/>
    </w:pPr>
    <w:rPr>
      <w:b/>
    </w:rPr>
  </w:style>
  <w:style w:type="paragraph" w:styleId="5">
    <w:name w:val="heading 5"/>
    <w:basedOn w:val="a"/>
    <w:next w:val="a"/>
    <w:rsid w:val="004B4CDD"/>
    <w:pPr>
      <w:keepNext/>
      <w:keepLines/>
      <w:spacing w:before="220" w:after="40"/>
      <w:outlineLvl w:val="4"/>
    </w:pPr>
    <w:rPr>
      <w:b/>
      <w:sz w:val="22"/>
      <w:szCs w:val="22"/>
    </w:rPr>
  </w:style>
  <w:style w:type="paragraph" w:styleId="6">
    <w:name w:val="heading 6"/>
    <w:basedOn w:val="a"/>
    <w:next w:val="a"/>
    <w:rsid w:val="004B4C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4CDD"/>
    <w:tblPr>
      <w:tblCellMar>
        <w:top w:w="0" w:type="dxa"/>
        <w:left w:w="0" w:type="dxa"/>
        <w:bottom w:w="0" w:type="dxa"/>
        <w:right w:w="0" w:type="dxa"/>
      </w:tblCellMar>
    </w:tblPr>
  </w:style>
  <w:style w:type="paragraph" w:styleId="a3">
    <w:name w:val="Title"/>
    <w:basedOn w:val="a"/>
    <w:next w:val="a"/>
    <w:rsid w:val="004B4CDD"/>
    <w:pPr>
      <w:keepNext/>
      <w:keepLines/>
      <w:spacing w:before="480" w:after="120"/>
    </w:pPr>
    <w:rPr>
      <w:b/>
      <w:sz w:val="72"/>
      <w:szCs w:val="72"/>
    </w:rPr>
  </w:style>
  <w:style w:type="table" w:customStyle="1" w:styleId="TableNormal0">
    <w:name w:val="Table Normal"/>
    <w:rsid w:val="004B4CDD"/>
    <w:tblPr>
      <w:tblCellMar>
        <w:top w:w="0" w:type="dxa"/>
        <w:left w:w="0" w:type="dxa"/>
        <w:bottom w:w="0" w:type="dxa"/>
        <w:right w:w="0" w:type="dxa"/>
      </w:tblCellMar>
    </w:tblPr>
  </w:style>
  <w:style w:type="paragraph" w:styleId="a4">
    <w:name w:val="Balloon Text"/>
    <w:basedOn w:val="a"/>
    <w:link w:val="a5"/>
    <w:uiPriority w:val="99"/>
    <w:semiHidden/>
    <w:unhideWhenUsed/>
    <w:rsid w:val="00D2330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3307"/>
    <w:rPr>
      <w:rFonts w:ascii="Tahoma" w:eastAsia="Times New Roman" w:hAnsi="Tahoma" w:cs="Tahoma"/>
      <w:position w:val="-1"/>
      <w:sz w:val="16"/>
      <w:szCs w:val="16"/>
      <w:lang w:eastAsia="ru-RU"/>
    </w:rPr>
  </w:style>
  <w:style w:type="character" w:styleId="a6">
    <w:name w:val="Hyperlink"/>
    <w:basedOn w:val="a0"/>
    <w:uiPriority w:val="99"/>
    <w:semiHidden/>
    <w:unhideWhenUsed/>
    <w:rsid w:val="006656FB"/>
    <w:rPr>
      <w:color w:val="0000FF"/>
      <w:u w:val="single"/>
    </w:rPr>
  </w:style>
  <w:style w:type="paragraph" w:styleId="a7">
    <w:name w:val="Subtitle"/>
    <w:basedOn w:val="a"/>
    <w:next w:val="a"/>
    <w:rsid w:val="004B4CDD"/>
    <w:pPr>
      <w:keepNext/>
      <w:keepLines/>
      <w:pBdr>
        <w:top w:val="nil"/>
        <w:left w:val="nil"/>
        <w:bottom w:val="nil"/>
        <w:right w:val="nil"/>
        <w:between w:val="nil"/>
      </w:pBdr>
      <w:spacing w:before="360" w:after="80" w:line="276" w:lineRule="auto"/>
      <w:ind w:left="0"/>
    </w:pPr>
    <w:rPr>
      <w:rFonts w:ascii="Georgia" w:eastAsia="Georgia" w:hAnsi="Georgia" w:cs="Georgia"/>
      <w:i/>
      <w:color w:val="666666"/>
      <w:sz w:val="48"/>
      <w:szCs w:val="48"/>
    </w:rPr>
  </w:style>
  <w:style w:type="table" w:customStyle="1" w:styleId="a8">
    <w:basedOn w:val="TableNormal0"/>
    <w:rsid w:val="004B4CDD"/>
    <w:tblPr>
      <w:tblStyleRowBandSize w:val="1"/>
      <w:tblStyleColBandSize w:val="1"/>
      <w:tblCellMar>
        <w:left w:w="115" w:type="dxa"/>
        <w:right w:w="115" w:type="dxa"/>
      </w:tblCellMar>
    </w:tblPr>
  </w:style>
  <w:style w:type="table" w:customStyle="1" w:styleId="a9">
    <w:basedOn w:val="TableNormal0"/>
    <w:rsid w:val="004B4CDD"/>
    <w:tblPr>
      <w:tblStyleRowBandSize w:val="1"/>
      <w:tblStyleColBandSize w:val="1"/>
      <w:tblCellMar>
        <w:left w:w="115" w:type="dxa"/>
        <w:right w:w="115" w:type="dxa"/>
      </w:tblCellMar>
    </w:tblPr>
  </w:style>
  <w:style w:type="paragraph" w:styleId="aa">
    <w:name w:val="List Paragraph"/>
    <w:aliases w:val="EBRD List,CA bullets,AC List 01,Список уровня 2,Number Bullets,название табл/рис,заголовок 1.1,Chapter10,List Paragraph,Bullet Number,Bullet 1,Use Case List Paragraph,lp1,List Paragraph1,lp11,List Paragraph11"/>
    <w:basedOn w:val="a"/>
    <w:link w:val="ab"/>
    <w:uiPriority w:val="34"/>
    <w:qFormat/>
    <w:rsid w:val="008647AD"/>
    <w:pPr>
      <w:ind w:left="720"/>
      <w:contextualSpacing/>
    </w:pPr>
  </w:style>
  <w:style w:type="character" w:customStyle="1" w:styleId="ab">
    <w:name w:val="Абзац списка Знак"/>
    <w:aliases w:val="EBRD List Знак,CA bullets Знак,AC List 01 Знак,Список уровня 2 Знак,Number Bullets Знак,название табл/рис Знак,заголовок 1.1 Знак,Chapter10 Знак,List Paragraph Знак,Bullet Number Знак,Bullet 1 Знак,Use Case List Paragraph Знак,lp1 Знак"/>
    <w:link w:val="aa"/>
    <w:uiPriority w:val="34"/>
    <w:rsid w:val="00712921"/>
    <w:rPr>
      <w:position w:val="-1"/>
      <w:lang w:eastAsia="ru-RU"/>
    </w:rPr>
  </w:style>
  <w:style w:type="table" w:styleId="ac">
    <w:name w:val="Table Grid"/>
    <w:basedOn w:val="a1"/>
    <w:uiPriority w:val="59"/>
    <w:rsid w:val="00FE5F15"/>
    <w:pPr>
      <w:spacing w:line="240" w:lineRule="auto"/>
      <w:ind w:firstLine="0"/>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сновной текст2"/>
    <w:basedOn w:val="a"/>
    <w:rsid w:val="00FE5F15"/>
    <w:pPr>
      <w:widowControl w:val="0"/>
      <w:suppressAutoHyphens w:val="0"/>
      <w:spacing w:line="240" w:lineRule="auto"/>
      <w:ind w:leftChars="0" w:left="0" w:firstLineChars="0" w:firstLine="0"/>
      <w:textDirection w:val="lrTb"/>
      <w:textAlignment w:val="auto"/>
      <w:outlineLvl w:val="9"/>
    </w:pPr>
    <w:rPr>
      <w:rFonts w:ascii="Arial" w:hAnsi="Arial"/>
      <w:snapToGrid w:val="0"/>
      <w:position w:val="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c7t4wDDOqhulO2nnVJehIv6i7g==">CgMxLjAyCGguZ2pkZ3hzOAByITFuc3EyY1ZGN0NVLVZXTURoWjRKLS1lRjU5Q2Fwcndaeg==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11394</Words>
  <Characters>6495</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Черняєв Святослав Юрійович</dc:creator>
  <cp:lastModifiedBy>Анна Захарченко</cp:lastModifiedBy>
  <cp:revision>32</cp:revision>
  <dcterms:created xsi:type="dcterms:W3CDTF">2023-07-11T16:07:00Z</dcterms:created>
  <dcterms:modified xsi:type="dcterms:W3CDTF">2023-11-02T14:16:00Z</dcterms:modified>
</cp:coreProperties>
</file>