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Оголошення про проведення відкритих торгів </w:t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139"/>
        <w:gridCol w:w="5796"/>
      </w:tblGrid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Державний навчальний заклад "Лісоводський професійний аграрний ліцей"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lang w:eastAsia="ru-RU"/>
              </w:rPr>
            </w:pPr>
            <w:r>
              <w:rPr>
                <w:b/>
              </w:rPr>
              <w:t>Україна, 32046, Хмельницька обл., Хмельницький р-н, село Лісоводи, вулиця Сугерова, будинок 2.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lang w:eastAsia="ru-RU"/>
              </w:rPr>
            </w:pPr>
            <w:r>
              <w:rPr>
                <w:rFonts w:eastAsia="Calibri"/>
                <w:b/>
                <w:bCs/>
                <w:color w:val="00000A"/>
                <w:lang w:eastAsia="ru-RU"/>
              </w:rPr>
              <w:t>05537756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lang w:eastAsia="ru-RU"/>
              </w:rPr>
            </w:pPr>
            <w:r>
              <w:rPr>
                <w:b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b/>
                <w:bCs/>
                <w:shd w:fill="FFFFFF" w:val="clear"/>
              </w:rPr>
              <w:t xml:space="preserve">«код ДК 021:2015 – 03410000-7 «Деревина» </w:t>
            </w:r>
            <w:r>
              <w:rPr>
                <w:shd w:fill="FFFFFF" w:val="clear"/>
              </w:rPr>
              <w:t>(Д</w:t>
            </w:r>
            <w:r>
              <w:rPr>
                <w:shd w:fill="FFFFFF" w:val="clear"/>
              </w:rPr>
              <w:t>еревина</w:t>
            </w:r>
            <w:r>
              <w:rPr>
                <w:shd w:fill="FFFFFF" w:val="clear"/>
              </w:rPr>
              <w:t xml:space="preserve"> твердої породи)</w:t>
            </w:r>
            <w:r>
              <w:rPr>
                <w:b/>
                <w:bCs/>
                <w:shd w:fill="FFFFFF" w:val="clear"/>
              </w:rPr>
              <w:t>»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Кількість :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b/>
              </w:rPr>
              <w:t xml:space="preserve">Дрова паливні – </w:t>
            </w:r>
            <w:r>
              <w:rPr>
                <w:b/>
              </w:rPr>
              <w:t>94</w:t>
            </w:r>
            <w:r>
              <w:rPr>
                <w:b/>
              </w:rPr>
              <w:t xml:space="preserve"> м. куб.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napToGrid w:val="false"/>
              <w:spacing w:before="0" w:after="0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Україна, 32046, Хмельницька обл., Хмельницький р-н, село Лісоводи, вулиця Сугерова, будинок 2.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rStyle w:val="Strong"/>
                <w:color w:val="FF0000"/>
                <w:highlight w:val="yellow"/>
              </w:rPr>
              <w:t>150 000</w:t>
            </w:r>
            <w:r>
              <w:rPr>
                <w:rStyle w:val="Strong"/>
                <w:color w:val="FF0000"/>
                <w:highlight w:val="yellow"/>
              </w:rPr>
              <w:t>.00 грн. (</w:t>
            </w:r>
            <w:r>
              <w:rPr>
                <w:rStyle w:val="Strong"/>
                <w:color w:val="FF0000"/>
                <w:highlight w:val="yellow"/>
              </w:rPr>
              <w:t>сто</w:t>
            </w:r>
            <w:r>
              <w:rPr>
                <w:rStyle w:val="Strong"/>
                <w:color w:val="FF0000"/>
                <w:highlight w:val="yellow"/>
              </w:rPr>
              <w:t xml:space="preserve"> п</w:t>
            </w:r>
            <w:r>
              <w:rPr>
                <w:rStyle w:val="Strong"/>
                <w:color w:val="FF0000"/>
                <w:highlight w:val="yellow"/>
                <w:lang w:val="ru-RU"/>
              </w:rPr>
              <w:t>’</w:t>
            </w:r>
            <w:r>
              <w:rPr>
                <w:rStyle w:val="Strong"/>
                <w:color w:val="FF0000"/>
                <w:highlight w:val="yellow"/>
              </w:rPr>
              <w:t>ят</w:t>
            </w:r>
            <w:r>
              <w:rPr>
                <w:rStyle w:val="Strong"/>
                <w:color w:val="FF0000"/>
                <w:highlight w:val="yellow"/>
              </w:rPr>
              <w:t>десят</w:t>
            </w:r>
            <w:r>
              <w:rPr>
                <w:rStyle w:val="Strong"/>
                <w:color w:val="FF0000"/>
                <w:highlight w:val="yellow"/>
              </w:rPr>
              <w:t xml:space="preserve"> тисяч гривень 00 копійок)  з ПДВ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Strong"/>
                <w:rFonts w:eastAsia="Times New Roman"/>
              </w:rPr>
            </w:pPr>
            <w:r>
              <w:rPr>
                <w:rFonts w:eastAsia="Times New Roman"/>
                <w:b/>
                <w:lang w:eastAsia="ru-RU"/>
              </w:rPr>
              <w:t>до 31.</w:t>
            </w:r>
            <w:r>
              <w:rPr>
                <w:rFonts w:eastAsia="Times New Roman"/>
                <w:b/>
                <w:lang w:val="en-US" w:eastAsia="ru-RU"/>
              </w:rPr>
              <w:t>12</w:t>
            </w:r>
            <w:r>
              <w:rPr>
                <w:rFonts w:eastAsia="Times New Roman"/>
                <w:b/>
                <w:lang w:eastAsia="ru-RU"/>
              </w:rPr>
              <w:t>.202</w:t>
            </w:r>
            <w:r>
              <w:rPr>
                <w:rFonts w:eastAsia="Times New Roman"/>
                <w:b/>
                <w:lang w:val="en-US" w:eastAsia="ru-RU"/>
              </w:rPr>
              <w:t>2</w:t>
            </w:r>
            <w:r>
              <w:rPr>
                <w:rFonts w:eastAsia="Times New Roman"/>
                <w:b/>
                <w:lang w:eastAsia="ru-RU"/>
              </w:rPr>
              <w:t>року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Style w:val="Strong"/>
                <w:lang w:val="en-US"/>
              </w:rPr>
              <w:t>0</w:t>
            </w:r>
            <w:bookmarkStart w:id="0" w:name="_GoBack"/>
            <w:bookmarkEnd w:id="0"/>
            <w:r>
              <w:rPr>
                <w:rStyle w:val="Strong"/>
                <w:lang w:val="en-US"/>
              </w:rPr>
              <w:t>8</w:t>
            </w:r>
            <w:r>
              <w:rPr>
                <w:rStyle w:val="Strong"/>
              </w:rPr>
              <w:t>.</w:t>
            </w:r>
            <w:r>
              <w:rPr>
                <w:rStyle w:val="Strong"/>
              </w:rPr>
              <w:t>1</w:t>
            </w:r>
            <w:r>
              <w:rPr>
                <w:rStyle w:val="Strong"/>
              </w:rPr>
              <w:t>2.202</w:t>
            </w:r>
            <w:r>
              <w:rPr>
                <w:rStyle w:val="Strong"/>
                <w:lang w:val="en-US"/>
              </w:rPr>
              <w:t>2</w:t>
            </w:r>
            <w:r>
              <w:rPr>
                <w:rStyle w:val="Strong"/>
                <w:rFonts w:eastAsia="Times New Roman"/>
                <w:bCs w:val="false"/>
              </w:rPr>
              <w:t xml:space="preserve"> року </w:t>
            </w:r>
            <w:r>
              <w:rPr>
                <w:rStyle w:val="Strong"/>
                <w:rFonts w:eastAsia="Times New Roman"/>
                <w:bCs w:val="false"/>
                <w:lang w:val="en-US"/>
              </w:rPr>
              <w:t>00</w:t>
            </w:r>
            <w:r>
              <w:rPr>
                <w:rStyle w:val="Strong"/>
                <w:rFonts w:eastAsia="Times New Roman"/>
                <w:bCs w:val="false"/>
              </w:rPr>
              <w:t>:00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Тип: післяоплата;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Період та тип днів: 30 банківських днів;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Розмір оплати: 100%;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</w:tabs>
              <w:spacing w:lineRule="exact" w:line="317"/>
              <w:jc w:val="both"/>
              <w:rPr>
                <w:rStyle w:val="Strong"/>
                <w:spacing w:val="1"/>
              </w:rPr>
            </w:pPr>
            <w:r>
              <w:rPr>
                <w:rFonts w:eastAsia="Times New Roman"/>
                <w:b/>
                <w:bCs/>
              </w:rPr>
              <w:t xml:space="preserve">Примітка: </w:t>
            </w:r>
            <w:r>
              <w:rPr>
                <w:rFonts w:eastAsia="Arial Unicode MS"/>
                <w:lang w:eastAsia="hi-IN" w:bidi="hi-IN"/>
              </w:rPr>
              <w:t>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  Розрахунки за поставлений товар здійснюються на підставі ст. 49 Бюджетного кодексу України з відтермінуванням платежу до 30 банківських днів.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рахунок. Фінансування відбувається за рахунок місцевого бюджету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 мовою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 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Забезпечення тендерної пропозиції не вимагається</w:t>
            </w:r>
          </w:p>
        </w:tc>
      </w:tr>
      <w:tr>
        <w:trPr>
          <w:trHeight w:val="846" w:hRule="atLeast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  <w:r>
              <w:rPr/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Не зазначається, адже оголошення про проведення відкритих торгів оприлюднюється не відповідно до частини першої статті 10 Закону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  <w:r>
              <w:rPr/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0,5 %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/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Не застосовується, оцінка тендерних пропозицій здійснюють на основі єдиного критерію “ціна” (питома вага критерію “ціна” – 100%)</w:t>
            </w:r>
          </w:p>
        </w:tc>
      </w:tr>
    </w:tbl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textAlignment w:val="top"/>
        <w:rPr>
          <w:rFonts w:eastAsia="Times New Roman"/>
          <w:bCs/>
          <w:sz w:val="10"/>
          <w:szCs w:val="10"/>
        </w:rPr>
      </w:pPr>
      <w:r>
        <w:rPr>
          <w:rFonts w:eastAsia="Times New Roman"/>
          <w:bCs/>
          <w:sz w:val="10"/>
          <w:szCs w:val="10"/>
        </w:rPr>
      </w:r>
    </w:p>
    <w:p>
      <w:pPr>
        <w:pStyle w:val="Normal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"/>
        <w:rPr>
          <w:rFonts w:eastAsia="Times New Roman"/>
          <w:bCs/>
        </w:rPr>
      </w:pPr>
      <w:r>
        <w:rPr>
          <w:rFonts w:eastAsia="Times New Roman"/>
          <w:bCs/>
        </w:rPr>
      </w:r>
    </w:p>
    <w:tbl>
      <w:tblPr>
        <w:tblW w:w="100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63"/>
        <w:gridCol w:w="3286"/>
        <w:gridCol w:w="3089"/>
      </w:tblGrid>
      <w:tr>
        <w:trPr>
          <w:trHeight w:val="131" w:hRule="atLeast"/>
        </w:trPr>
        <w:tc>
          <w:tcPr>
            <w:tcW w:w="366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ind w:firstLine="3"/>
              <w:jc w:val="center"/>
              <w:rPr/>
            </w:pPr>
            <w:r>
              <w:rPr>
                <w:b/>
              </w:rPr>
              <w:t>Уповноважена особа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rFonts w:eastAsia="Arial"/>
                <w:b/>
                <w:color w:val="00000A"/>
              </w:rPr>
              <w:t>Державного навчального закладу "Лісоводський професійний аграрний ліцей"</w:t>
            </w:r>
          </w:p>
          <w:p>
            <w:pPr>
              <w:pStyle w:val="Normal"/>
              <w:widowControl w:val="false"/>
              <w:shd w:val="clear" w:color="auto" w:fill="FFFFFF"/>
              <w:ind w:firstLine="3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2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snapToGrid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>
                <w:sz w:val="16"/>
                <w:szCs w:val="16"/>
              </w:rPr>
              <w:t>________________</w:t>
            </w:r>
          </w:p>
        </w:tc>
        <w:tc>
          <w:tcPr>
            <w:tcW w:w="308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rPr/>
            </w:pPr>
            <w:r>
              <w:rPr>
                <w:b/>
              </w:rPr>
              <w:t>Сергій РОМАНЧУК</w:t>
            </w:r>
          </w:p>
        </w:tc>
      </w:tr>
    </w:tbl>
    <w:p>
      <w:pPr>
        <w:pStyle w:val="Normal"/>
        <w:rPr>
          <w:rFonts w:eastAsia="Times New Roman"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50" w:header="708" w:top="765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ug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24d"/>
    <w:pPr>
      <w:widowControl/>
      <w:bidi w:val="0"/>
      <w:spacing w:before="0" w:after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2"/>
    <w:next w:val="Normal"/>
    <w:link w:val="10"/>
    <w:autoRedefine/>
    <w:uiPriority w:val="9"/>
    <w:qFormat/>
    <w:rsid w:val="0022430b"/>
    <w:pPr>
      <w:keepNext w:val="true"/>
      <w:spacing w:beforeAutospacing="0" w:before="12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Normal"/>
    <w:link w:val="20"/>
    <w:uiPriority w:val="9"/>
    <w:qFormat/>
    <w:rsid w:val="0082124d"/>
    <w:pPr>
      <w:spacing w:beforeAutospacing="1" w:after="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2124d"/>
    <w:rPr>
      <w:rFonts w:ascii="Calibri Light" w:hAnsi="Calibri Light" w:eastAsia="" w:cs="Microsoft Uighur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2124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2430b"/>
    <w:rPr>
      <w:b/>
      <w:bCs/>
      <w:sz w:val="24"/>
      <w:szCs w:val="24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e06f47"/>
    <w:rPr>
      <w:rFonts w:ascii="Segoe UI" w:hAnsi="Segoe UI" w:eastAsia="" w:cs="Segoe UI" w:eastAsiaTheme="minorEastAsia"/>
      <w:sz w:val="18"/>
      <w:szCs w:val="18"/>
    </w:rPr>
  </w:style>
  <w:style w:type="character" w:styleId="Style15">
    <w:name w:val="Гіперпосилання"/>
    <w:uiPriority w:val="99"/>
    <w:unhideWhenUsed/>
    <w:rsid w:val="00cb73b3"/>
    <w:rPr>
      <w:color w:val="0000FF"/>
      <w:u w:val="single"/>
    </w:rPr>
  </w:style>
  <w:style w:type="character" w:styleId="Style16" w:customStyle="1">
    <w:name w:val="Обычный (веб) Знак"/>
    <w:link w:val="ab"/>
    <w:qFormat/>
    <w:locked/>
    <w:rsid w:val="002e4f8f"/>
    <w:rPr>
      <w:sz w:val="24"/>
      <w:szCs w:val="24"/>
      <w:lang w:val="x-none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82124d"/>
    <w:pPr>
      <w:spacing w:beforeAutospacing="1" w:afterAutospacing="1"/>
    </w:pPr>
    <w:rPr/>
  </w:style>
  <w:style w:type="paragraph" w:styleId="Small" w:customStyle="1">
    <w:name w:val="small"/>
    <w:basedOn w:val="Normal"/>
    <w:qFormat/>
    <w:rsid w:val="0082124d"/>
    <w:pPr>
      <w:spacing w:beforeAutospacing="1" w:afterAutospacing="1"/>
    </w:pPr>
    <w:rPr>
      <w:sz w:val="18"/>
      <w:szCs w:val="18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06f47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ac"/>
    <w:qFormat/>
    <w:rsid w:val="002e4f8f"/>
    <w:pPr>
      <w:suppressAutoHyphens w:val="true"/>
      <w:spacing w:before="280" w:after="280"/>
    </w:pPr>
    <w:rPr>
      <w:rFonts w:eastAsia="Times New Roman"/>
      <w:lang w:val="x-none" w:eastAsia="zh-CN"/>
    </w:rPr>
  </w:style>
  <w:style w:type="paragraph" w:styleId="ListParagraph">
    <w:name w:val="List Paragraph"/>
    <w:basedOn w:val="Normal"/>
    <w:uiPriority w:val="34"/>
    <w:qFormat/>
    <w:rsid w:val="00e169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9231-304E-4A25-8CFE-F6B845A5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2</Pages>
  <Words>377</Words>
  <Characters>2514</Characters>
  <CharactersWithSpaces>2858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2020-12-02T13:42:00Z</dcterms:created>
  <dc:creator/>
  <dc:description/>
  <dc:language>uk-UA</dc:language>
  <cp:lastModifiedBy/>
  <dcterms:modified xsi:type="dcterms:W3CDTF">2022-11-30T09:16:21Z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