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ayout w:type="fixed"/>
        <w:tblCellMar>
          <w:top w:w="15" w:type="dxa"/>
          <w:left w:w="15" w:type="dxa"/>
          <w:bottom w:w="15" w:type="dxa"/>
          <w:right w:w="15" w:type="dxa"/>
        </w:tblCellMar>
        <w:tblLook w:val="0400" w:firstRow="0" w:lastRow="0" w:firstColumn="0" w:lastColumn="0" w:noHBand="0" w:noVBand="1"/>
      </w:tblPr>
      <w:tblGrid>
        <w:gridCol w:w="490"/>
        <w:gridCol w:w="2273"/>
        <w:gridCol w:w="7018"/>
      </w:tblGrid>
      <w:tr w:rsidR="006E31AC" w:rsidRPr="006E31AC" w:rsidTr="00171224">
        <w:trPr>
          <w:cantSplit/>
          <w:trHeight w:val="690"/>
          <w:tblHeader/>
          <w:jc w:val="center"/>
        </w:trPr>
        <w:tc>
          <w:tcPr>
            <w:tcW w:w="9781" w:type="dxa"/>
            <w:gridSpan w:val="3"/>
            <w:tcBorders>
              <w:bottom w:val="single" w:sz="4" w:space="0" w:color="auto"/>
            </w:tcBorders>
            <w:tcMar>
              <w:top w:w="100" w:type="dxa"/>
              <w:left w:w="100" w:type="dxa"/>
              <w:bottom w:w="100" w:type="dxa"/>
              <w:right w:w="100" w:type="dxa"/>
            </w:tcMar>
            <w:vAlign w:val="center"/>
          </w:tcPr>
          <w:p w:rsidR="006E31AC" w:rsidRPr="006E31AC" w:rsidRDefault="006E31AC" w:rsidP="004817A5">
            <w:pPr>
              <w:spacing w:after="0" w:line="240" w:lineRule="auto"/>
              <w:ind w:left="5660" w:right="141" w:firstLine="700"/>
              <w:jc w:val="right"/>
              <w:rPr>
                <w:rFonts w:ascii="Times New Roman" w:eastAsia="Times New Roman" w:hAnsi="Times New Roman" w:cs="Times New Roman"/>
                <w:sz w:val="20"/>
                <w:szCs w:val="20"/>
                <w:lang w:val="uk-UA"/>
              </w:rPr>
            </w:pPr>
            <w:r w:rsidRPr="006E31AC">
              <w:rPr>
                <w:rFonts w:ascii="Times New Roman" w:eastAsia="Times New Roman" w:hAnsi="Times New Roman" w:cs="Times New Roman"/>
                <w:b/>
                <w:sz w:val="20"/>
                <w:szCs w:val="20"/>
                <w:lang w:val="uk-UA"/>
              </w:rPr>
              <w:t>ДОДАТОК 1</w:t>
            </w:r>
          </w:p>
          <w:p w:rsidR="006E31AC" w:rsidRPr="006E31AC" w:rsidRDefault="006E31AC" w:rsidP="004817A5">
            <w:pPr>
              <w:spacing w:after="0" w:line="240" w:lineRule="auto"/>
              <w:ind w:left="5660" w:right="141" w:firstLine="700"/>
              <w:jc w:val="right"/>
              <w:rPr>
                <w:rFonts w:ascii="Times New Roman" w:eastAsia="Times New Roman" w:hAnsi="Times New Roman" w:cs="Times New Roman"/>
                <w:sz w:val="20"/>
                <w:szCs w:val="20"/>
                <w:lang w:val="uk-UA"/>
              </w:rPr>
            </w:pPr>
            <w:r w:rsidRPr="006E31AC">
              <w:rPr>
                <w:rFonts w:ascii="Times New Roman" w:eastAsia="Times New Roman" w:hAnsi="Times New Roman" w:cs="Times New Roman"/>
                <w:i/>
                <w:sz w:val="20"/>
                <w:szCs w:val="20"/>
                <w:lang w:val="uk-UA"/>
              </w:rPr>
              <w:t>до тендерної документації</w:t>
            </w:r>
          </w:p>
          <w:p w:rsidR="006E31AC" w:rsidRPr="006E31AC" w:rsidRDefault="006E31AC" w:rsidP="004817A5">
            <w:pPr>
              <w:spacing w:after="0" w:line="240" w:lineRule="auto"/>
              <w:ind w:left="5660" w:right="141" w:firstLine="700"/>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i/>
                <w:sz w:val="20"/>
                <w:szCs w:val="20"/>
                <w:lang w:val="uk-UA"/>
              </w:rPr>
              <w:t> </w:t>
            </w:r>
          </w:p>
          <w:p w:rsidR="006E31AC" w:rsidRPr="006E31AC" w:rsidRDefault="006E31AC" w:rsidP="004817A5">
            <w:pPr>
              <w:numPr>
                <w:ilvl w:val="0"/>
                <w:numId w:val="1"/>
              </w:numPr>
              <w:shd w:val="clear" w:color="auto" w:fill="FFFFFF"/>
              <w:spacing w:after="0" w:line="240" w:lineRule="auto"/>
              <w:ind w:left="502" w:right="141"/>
              <w:jc w:val="both"/>
              <w:rPr>
                <w:rFonts w:ascii="Times New Roman" w:eastAsia="Times New Roman" w:hAnsi="Times New Roman" w:cs="Times New Roman"/>
                <w:b/>
                <w:sz w:val="20"/>
                <w:szCs w:val="20"/>
                <w:lang w:val="uk-UA"/>
              </w:rPr>
            </w:pPr>
            <w:r w:rsidRPr="006E31AC">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E31AC" w:rsidRPr="006E31AC" w:rsidRDefault="006E31AC" w:rsidP="004817A5">
            <w:pPr>
              <w:spacing w:after="0" w:line="240" w:lineRule="auto"/>
              <w:ind w:left="885" w:right="141"/>
              <w:jc w:val="center"/>
              <w:rPr>
                <w:rFonts w:ascii="Times New Roman" w:eastAsia="Times New Roman" w:hAnsi="Times New Roman" w:cs="Times New Roman"/>
                <w:b/>
                <w:i/>
                <w:sz w:val="20"/>
                <w:szCs w:val="20"/>
                <w:lang w:val="uk-UA"/>
              </w:rPr>
            </w:pPr>
          </w:p>
          <w:p w:rsidR="006E31AC" w:rsidRPr="006E31AC" w:rsidRDefault="006E31AC" w:rsidP="004817A5">
            <w:pPr>
              <w:spacing w:before="240" w:after="0" w:line="240" w:lineRule="auto"/>
              <w:ind w:right="141"/>
              <w:jc w:val="center"/>
              <w:rPr>
                <w:rFonts w:ascii="Times New Roman" w:eastAsia="Times New Roman" w:hAnsi="Times New Roman" w:cs="Times New Roman"/>
                <w:b/>
                <w:sz w:val="20"/>
                <w:szCs w:val="20"/>
                <w:lang w:val="uk-UA"/>
              </w:rPr>
            </w:pPr>
            <w:r w:rsidRPr="006E31AC">
              <w:rPr>
                <w:rFonts w:ascii="Times New Roman" w:eastAsia="Times New Roman" w:hAnsi="Times New Roman" w:cs="Times New Roman"/>
                <w:b/>
                <w:i/>
                <w:sz w:val="20"/>
                <w:szCs w:val="20"/>
                <w:lang w:val="uk-UA"/>
              </w:rPr>
              <w:t>Замовник вибирає один або декілька кваліфікаційних критеріїв залежно від специфіки предмета закупівлі.</w:t>
            </w:r>
          </w:p>
        </w:tc>
      </w:tr>
      <w:tr w:rsidR="006E31AC" w:rsidRPr="006E31AC" w:rsidTr="00171224">
        <w:trPr>
          <w:cantSplit/>
          <w:trHeight w:val="690"/>
          <w:tblHeader/>
          <w:jc w:val="center"/>
        </w:trPr>
        <w:tc>
          <w:tcPr>
            <w:tcW w:w="4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31AC" w:rsidRPr="006E31AC" w:rsidRDefault="006E31AC" w:rsidP="004817A5">
            <w:pPr>
              <w:spacing w:before="240" w:after="0" w:line="240" w:lineRule="auto"/>
              <w:ind w:right="141"/>
              <w:jc w:val="center"/>
              <w:rPr>
                <w:rFonts w:ascii="Times New Roman" w:eastAsia="Times New Roman" w:hAnsi="Times New Roman" w:cs="Times New Roman"/>
                <w:sz w:val="20"/>
                <w:szCs w:val="20"/>
                <w:lang w:val="uk-UA"/>
              </w:rPr>
            </w:pPr>
            <w:r w:rsidRPr="006E31AC">
              <w:rPr>
                <w:rFonts w:ascii="Times New Roman" w:eastAsia="Times New Roman" w:hAnsi="Times New Roman" w:cs="Times New Roman"/>
                <w:b/>
                <w:sz w:val="20"/>
                <w:szCs w:val="20"/>
                <w:lang w:val="uk-UA"/>
              </w:rPr>
              <w:t>№ з/п</w:t>
            </w:r>
          </w:p>
        </w:tc>
        <w:tc>
          <w:tcPr>
            <w:tcW w:w="2273" w:type="dxa"/>
            <w:tcBorders>
              <w:top w:val="single" w:sz="4" w:space="0" w:color="auto"/>
              <w:left w:val="single" w:sz="8" w:space="0" w:color="000000"/>
              <w:bottom w:val="single" w:sz="8" w:space="0" w:color="000000"/>
              <w:right w:val="single" w:sz="8" w:space="0" w:color="000000"/>
            </w:tcBorders>
            <w:vAlign w:val="center"/>
          </w:tcPr>
          <w:p w:rsidR="006E31AC" w:rsidRPr="006E31AC" w:rsidRDefault="006E31AC" w:rsidP="004817A5">
            <w:pPr>
              <w:spacing w:before="240" w:after="0" w:line="240" w:lineRule="auto"/>
              <w:ind w:right="141"/>
              <w:jc w:val="center"/>
              <w:rPr>
                <w:rFonts w:ascii="Times New Roman" w:eastAsia="Times New Roman" w:hAnsi="Times New Roman" w:cs="Times New Roman"/>
                <w:sz w:val="20"/>
                <w:szCs w:val="20"/>
                <w:lang w:val="uk-UA"/>
              </w:rPr>
            </w:pPr>
            <w:r w:rsidRPr="006E31AC">
              <w:rPr>
                <w:rFonts w:ascii="Times New Roman" w:eastAsia="Times New Roman" w:hAnsi="Times New Roman" w:cs="Times New Roman"/>
                <w:b/>
                <w:sz w:val="20"/>
                <w:szCs w:val="20"/>
                <w:lang w:val="uk-UA"/>
              </w:rPr>
              <w:t>Кваліфікаційні критерії</w:t>
            </w:r>
          </w:p>
        </w:tc>
        <w:tc>
          <w:tcPr>
            <w:tcW w:w="7018" w:type="dxa"/>
            <w:tcBorders>
              <w:top w:val="single" w:sz="4" w:space="0" w:color="auto"/>
              <w:left w:val="single" w:sz="8" w:space="0" w:color="000000"/>
              <w:bottom w:val="single" w:sz="8" w:space="0" w:color="000000"/>
              <w:right w:val="single" w:sz="8" w:space="0" w:color="000000"/>
            </w:tcBorders>
            <w:vAlign w:val="center"/>
          </w:tcPr>
          <w:p w:rsidR="006E31AC" w:rsidRPr="006E31AC" w:rsidRDefault="006E31AC" w:rsidP="004817A5">
            <w:pPr>
              <w:spacing w:before="240" w:after="0" w:line="240" w:lineRule="auto"/>
              <w:ind w:right="141"/>
              <w:jc w:val="center"/>
              <w:rPr>
                <w:rFonts w:ascii="Times New Roman" w:eastAsia="Times New Roman" w:hAnsi="Times New Roman" w:cs="Times New Roman"/>
                <w:sz w:val="20"/>
                <w:szCs w:val="20"/>
                <w:lang w:val="uk-UA"/>
              </w:rPr>
            </w:pPr>
            <w:r w:rsidRPr="006E31AC">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6E31AC" w:rsidRPr="006E31AC" w:rsidTr="00171224">
        <w:trPr>
          <w:cantSplit/>
          <w:trHeight w:val="28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1AC" w:rsidRPr="006E31AC" w:rsidRDefault="006E31AC" w:rsidP="004817A5">
            <w:pPr>
              <w:spacing w:after="0" w:line="240" w:lineRule="auto"/>
              <w:ind w:right="141"/>
              <w:jc w:val="center"/>
              <w:rPr>
                <w:rFonts w:ascii="Times New Roman" w:eastAsia="Times New Roman" w:hAnsi="Times New Roman" w:cs="Times New Roman"/>
                <w:sz w:val="20"/>
                <w:szCs w:val="20"/>
                <w:lang w:val="uk-UA"/>
              </w:rPr>
            </w:pPr>
            <w:r w:rsidRPr="006E31AC">
              <w:rPr>
                <w:rFonts w:ascii="Times New Roman" w:eastAsia="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Pr>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r w:rsidRPr="006E31AC">
              <w:rPr>
                <w:rFonts w:ascii="Times New Roman" w:eastAsia="Times New Roman" w:hAnsi="Times New Roman" w:cs="Times New Roman"/>
                <w:b/>
                <w:sz w:val="20"/>
                <w:szCs w:val="20"/>
                <w:lang w:val="uk-UA"/>
              </w:rPr>
              <w:t>Наявність обладнання, матеріально-технічної бази та технологій*</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i/>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p>
          <w:p w:rsidR="006E31AC" w:rsidRPr="006E31AC" w:rsidRDefault="006E31AC" w:rsidP="004817A5">
            <w:pPr>
              <w:spacing w:before="120" w:after="240" w:line="240" w:lineRule="auto"/>
              <w:ind w:right="141"/>
              <w:jc w:val="both"/>
              <w:rPr>
                <w:rFonts w:ascii="Times New Roman" w:eastAsia="Times New Roman" w:hAnsi="Times New Roman" w:cs="Times New Roman"/>
                <w:sz w:val="20"/>
                <w:szCs w:val="20"/>
                <w:lang w:val="uk-UA"/>
              </w:rPr>
            </w:pPr>
          </w:p>
        </w:tc>
        <w:tc>
          <w:tcPr>
            <w:tcW w:w="7018" w:type="dxa"/>
            <w:tcBorders>
              <w:top w:val="single" w:sz="8" w:space="0" w:color="000000"/>
              <w:left w:val="single" w:sz="8" w:space="0" w:color="000000"/>
              <w:bottom w:val="single" w:sz="8" w:space="0" w:color="000000"/>
              <w:right w:val="single" w:sz="8" w:space="0" w:color="000000"/>
            </w:tcBorders>
          </w:tcPr>
          <w:p w:rsidR="006E31AC" w:rsidRPr="006E31AC" w:rsidRDefault="006E31AC" w:rsidP="004817A5">
            <w:pPr>
              <w:pStyle w:val="a3"/>
              <w:numPr>
                <w:ilvl w:val="1"/>
                <w:numId w:val="2"/>
              </w:numPr>
              <w:shd w:val="clear" w:color="auto" w:fill="FFFFFF"/>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b/>
                <w:sz w:val="20"/>
                <w:szCs w:val="20"/>
                <w:lang w:val="uk-UA"/>
              </w:rPr>
              <w:t>Довідка</w:t>
            </w:r>
            <w:r w:rsidRPr="006E31AC">
              <w:rPr>
                <w:rFonts w:ascii="Times New Roman" w:eastAsia="Times New Roman" w:hAnsi="Times New Roman" w:cs="Times New Roman"/>
                <w:sz w:val="20"/>
                <w:szCs w:val="20"/>
                <w:lang w:val="uk-UA"/>
              </w:rPr>
              <w:t xml:space="preserve"> (Згідно Таблиці 1) про наявність обладнання, матеріально-технічної бази  необхідних для надання послуг , визначених у технічних вимогах, із зазначенням найменування, кількості та правової підстави володіння / користування.</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 xml:space="preserve">                                                                                                     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
              <w:gridCol w:w="2273"/>
              <w:gridCol w:w="1328"/>
              <w:gridCol w:w="1328"/>
              <w:gridCol w:w="1329"/>
            </w:tblGrid>
            <w:tr w:rsidR="006E31AC" w:rsidRPr="006E31AC" w:rsidTr="00465020">
              <w:tc>
                <w:tcPr>
                  <w:tcW w:w="383" w:type="dxa"/>
                </w:tcPr>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w:t>
                  </w:r>
                </w:p>
              </w:tc>
              <w:tc>
                <w:tcPr>
                  <w:tcW w:w="2273" w:type="dxa"/>
                </w:tcPr>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Найменування</w:t>
                  </w:r>
                </w:p>
              </w:tc>
              <w:tc>
                <w:tcPr>
                  <w:tcW w:w="1328" w:type="dxa"/>
                </w:tcPr>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Кількість</w:t>
                  </w:r>
                </w:p>
              </w:tc>
              <w:tc>
                <w:tcPr>
                  <w:tcW w:w="1328" w:type="dxa"/>
                </w:tcPr>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Правова підстава володіння/користування</w:t>
                  </w:r>
                </w:p>
              </w:tc>
              <w:tc>
                <w:tcPr>
                  <w:tcW w:w="1329" w:type="dxa"/>
                </w:tcPr>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Примітка</w:t>
                  </w:r>
                </w:p>
              </w:tc>
            </w:tr>
            <w:tr w:rsidR="006E31AC" w:rsidRPr="006E31AC" w:rsidTr="00465020">
              <w:tc>
                <w:tcPr>
                  <w:tcW w:w="383" w:type="dxa"/>
                </w:tcPr>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1</w:t>
                  </w:r>
                </w:p>
              </w:tc>
              <w:tc>
                <w:tcPr>
                  <w:tcW w:w="2273" w:type="dxa"/>
                </w:tcPr>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p>
              </w:tc>
              <w:tc>
                <w:tcPr>
                  <w:tcW w:w="1328" w:type="dxa"/>
                </w:tcPr>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p>
              </w:tc>
              <w:tc>
                <w:tcPr>
                  <w:tcW w:w="1328" w:type="dxa"/>
                </w:tcPr>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p>
              </w:tc>
              <w:tc>
                <w:tcPr>
                  <w:tcW w:w="1329" w:type="dxa"/>
                </w:tcPr>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p>
              </w:tc>
            </w:tr>
            <w:tr w:rsidR="006E31AC" w:rsidRPr="006E31AC" w:rsidTr="00465020">
              <w:tc>
                <w:tcPr>
                  <w:tcW w:w="383" w:type="dxa"/>
                </w:tcPr>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p>
              </w:tc>
              <w:tc>
                <w:tcPr>
                  <w:tcW w:w="2273" w:type="dxa"/>
                </w:tcPr>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p>
              </w:tc>
              <w:tc>
                <w:tcPr>
                  <w:tcW w:w="1328" w:type="dxa"/>
                </w:tcPr>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p>
              </w:tc>
              <w:tc>
                <w:tcPr>
                  <w:tcW w:w="1328" w:type="dxa"/>
                </w:tcPr>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p>
              </w:tc>
              <w:tc>
                <w:tcPr>
                  <w:tcW w:w="1329" w:type="dxa"/>
                </w:tcPr>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p>
              </w:tc>
            </w:tr>
          </w:tbl>
          <w:p w:rsidR="006E31AC" w:rsidRPr="006E31AC" w:rsidRDefault="006E31AC" w:rsidP="004817A5">
            <w:pPr>
              <w:shd w:val="clear" w:color="auto" w:fill="FFFFFF"/>
              <w:spacing w:after="0" w:line="240" w:lineRule="auto"/>
              <w:ind w:right="141"/>
              <w:jc w:val="both"/>
              <w:rPr>
                <w:rFonts w:ascii="Times New Roman" w:eastAsia="Times New Roman" w:hAnsi="Times New Roman" w:cs="Times New Roman"/>
                <w:sz w:val="20"/>
                <w:szCs w:val="20"/>
                <w:lang w:val="uk-UA"/>
              </w:rPr>
            </w:pP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посада, прізвище, ініціали уповноваженої особи учасника</w:t>
            </w:r>
            <w:r w:rsidRPr="006E31AC">
              <w:rPr>
                <w:rFonts w:ascii="Times New Roman" w:eastAsia="Times New Roman" w:hAnsi="Times New Roman" w:cs="Times New Roman"/>
                <w:sz w:val="20"/>
                <w:szCs w:val="20"/>
                <w:lang w:val="uk-UA"/>
              </w:rPr>
              <w:tab/>
            </w:r>
            <w:r w:rsidRPr="006E31AC">
              <w:rPr>
                <w:rFonts w:ascii="Times New Roman" w:eastAsia="Times New Roman" w:hAnsi="Times New Roman" w:cs="Times New Roman"/>
                <w:sz w:val="20"/>
                <w:szCs w:val="20"/>
                <w:lang w:val="uk-UA"/>
              </w:rPr>
              <w:tab/>
            </w:r>
            <w:r w:rsidRPr="006E31AC">
              <w:rPr>
                <w:rFonts w:ascii="Times New Roman" w:eastAsia="Times New Roman" w:hAnsi="Times New Roman" w:cs="Times New Roman"/>
                <w:sz w:val="20"/>
                <w:szCs w:val="20"/>
                <w:lang w:val="uk-UA"/>
              </w:rPr>
              <w:tab/>
            </w:r>
            <w:r w:rsidRPr="006E31AC">
              <w:rPr>
                <w:rFonts w:ascii="Times New Roman" w:eastAsia="Times New Roman" w:hAnsi="Times New Roman" w:cs="Times New Roman"/>
                <w:sz w:val="20"/>
                <w:szCs w:val="20"/>
                <w:lang w:val="uk-UA"/>
              </w:rPr>
              <w:tab/>
              <w:t>(підпис)</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 xml:space="preserve">М.П. </w:t>
            </w:r>
          </w:p>
          <w:p w:rsidR="006E31AC" w:rsidRPr="006E31AC" w:rsidRDefault="006E31AC" w:rsidP="004817A5">
            <w:pPr>
              <w:shd w:val="clear" w:color="auto" w:fill="FFFFFF"/>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bCs/>
                <w:i/>
                <w:iCs/>
                <w:sz w:val="20"/>
                <w:szCs w:val="20"/>
                <w:lang w:val="uk-UA"/>
              </w:rPr>
              <w:t>Ця довідка повинна відображати основні машини, механізми, обладнання, передбачені кошторисом учасника («</w:t>
            </w:r>
            <w:r w:rsidRPr="006E31AC">
              <w:rPr>
                <w:rFonts w:ascii="Times New Roman" w:eastAsia="Times New Roman" w:hAnsi="Times New Roman" w:cs="Times New Roman"/>
                <w:i/>
                <w:iCs/>
                <w:sz w:val="20"/>
                <w:szCs w:val="20"/>
                <w:lang w:val="uk-UA"/>
              </w:rPr>
              <w:t>Підсумкова відомість ресурсів» розділ ІІ «Будівельні машини і механізми</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У зв’язку з тим , що проектом передбачено роботи з підвищеною небезпекою, учасник повинен надати дозволи(декларації)  на  експлуатацію машин, виконання робіт з підвищеною небезпекою, а саме:</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-перелік машин, механізмів, устаткування , які будуть надаватися для виконання робіт з підвищеної небезпеки, наявність дозвільних документів на експлуатацію вказаних машин і механізмів;</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-вид робіт підвищеної небезпеки, які виконуються   відповідно до декларації відповідності матеріально-технічної бази  згідно законодавства з питань охорони праці у відповідності до вимог постанови КМУ № 77 відж 03.02.2021 року.</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highlight w:val="yellow"/>
                <w:lang w:val="uk-UA"/>
              </w:rPr>
            </w:pPr>
            <w:r w:rsidRPr="006E31AC">
              <w:rPr>
                <w:rFonts w:ascii="Times New Roman" w:eastAsia="Times New Roman" w:hAnsi="Times New Roman" w:cs="Times New Roman"/>
                <w:sz w:val="20"/>
                <w:szCs w:val="20"/>
                <w:lang w:val="uk-UA"/>
              </w:rPr>
              <w:t>Відповідно до постанови КМУ № 1107 від 26.11.2011 року « Про затвердження порядку видачі дозволів на виконання робіт підвищеної небезпеки та на експлуатацію ( застосування ) машин, механізмів, устаткування підвищеної небезпеки », види робіт підвищеної небезпеки, що зазначені у пунктах  11, 20,23 групи А  та пункту 3,17 групи Б до порядку видачі дозволів на виконання робіт підвищеної небезпеки та на експлуатацію ( застосування) машин, механізмів, устаткування підвищеної небезпеки,затвердженого цією постановою, виконуються на підставі декларації відповідності матеріально- технічної бази, вимогам законодавства з питань охорони праці, згідно з постановою КМУ № 357 від 24.03.2022 року- діє до дня припинення або скасування воєнного стану і протягом одного місяця після його припинення чи скасування.</w:t>
            </w:r>
          </w:p>
        </w:tc>
      </w:tr>
      <w:tr w:rsidR="006E31AC" w:rsidRPr="006E31AC" w:rsidTr="00171224">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1AC" w:rsidRPr="006E31AC" w:rsidRDefault="006E31AC" w:rsidP="004817A5">
            <w:pPr>
              <w:spacing w:after="0" w:line="240" w:lineRule="auto"/>
              <w:ind w:right="141"/>
              <w:jc w:val="center"/>
              <w:rPr>
                <w:rFonts w:ascii="Times New Roman" w:eastAsia="Times New Roman" w:hAnsi="Times New Roman" w:cs="Times New Roman"/>
                <w:sz w:val="20"/>
                <w:szCs w:val="20"/>
                <w:lang w:val="uk-UA"/>
              </w:rPr>
            </w:pPr>
            <w:r w:rsidRPr="006E31AC">
              <w:rPr>
                <w:rFonts w:ascii="Times New Roman" w:eastAsia="Times New Roman" w:hAnsi="Times New Roman" w:cs="Times New Roman"/>
                <w:b/>
                <w:sz w:val="20"/>
                <w:szCs w:val="2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Pr>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r w:rsidRPr="006E31AC">
              <w:rPr>
                <w:rFonts w:ascii="Times New Roman" w:eastAsia="Times New Roman" w:hAnsi="Times New Roman" w:cs="Times New Roman"/>
                <w:b/>
                <w:sz w:val="20"/>
                <w:szCs w:val="20"/>
                <w:lang w:val="uk-UA"/>
              </w:rPr>
              <w:t>Наявність працівників відповідної кваліфікації, які мають необхідні знання та досвід*</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i/>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p>
          <w:p w:rsidR="006E31AC" w:rsidRPr="006E31AC" w:rsidRDefault="006E31AC" w:rsidP="004817A5">
            <w:pPr>
              <w:spacing w:before="120" w:after="240" w:line="240" w:lineRule="auto"/>
              <w:ind w:right="141"/>
              <w:jc w:val="both"/>
              <w:rPr>
                <w:rFonts w:ascii="Times New Roman" w:eastAsia="Times New Roman" w:hAnsi="Times New Roman" w:cs="Times New Roman"/>
                <w:sz w:val="20"/>
                <w:szCs w:val="20"/>
                <w:lang w:val="uk-UA"/>
              </w:rPr>
            </w:pPr>
          </w:p>
        </w:tc>
        <w:tc>
          <w:tcPr>
            <w:tcW w:w="7018" w:type="dxa"/>
            <w:tcBorders>
              <w:top w:val="single" w:sz="8" w:space="0" w:color="000000"/>
              <w:left w:val="single" w:sz="8" w:space="0" w:color="000000"/>
              <w:bottom w:val="single" w:sz="8" w:space="0" w:color="000000"/>
              <w:right w:val="single" w:sz="8" w:space="0" w:color="000000"/>
            </w:tcBorders>
          </w:tcPr>
          <w:p w:rsidR="006E31AC" w:rsidRPr="006E31AC" w:rsidRDefault="006E31AC" w:rsidP="004817A5">
            <w:pPr>
              <w:shd w:val="clear" w:color="auto" w:fill="FFFFFF"/>
              <w:spacing w:after="0" w:line="240" w:lineRule="auto"/>
              <w:ind w:right="141"/>
              <w:jc w:val="both"/>
              <w:rPr>
                <w:rFonts w:ascii="Times New Roman" w:eastAsia="Times New Roman" w:hAnsi="Times New Roman" w:cs="Times New Roman"/>
                <w:sz w:val="20"/>
                <w:szCs w:val="20"/>
                <w:lang w:val="uk-UA"/>
              </w:rPr>
            </w:pP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6E31AC" w:rsidRPr="006E31AC" w:rsidRDefault="006E31AC" w:rsidP="004817A5">
            <w:pPr>
              <w:spacing w:after="0" w:line="240" w:lineRule="auto"/>
              <w:ind w:right="141"/>
              <w:jc w:val="right"/>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Таблиця 1  </w:t>
            </w:r>
          </w:p>
          <w:tbl>
            <w:tblPr>
              <w:tblW w:w="6288" w:type="dxa"/>
              <w:tblLayout w:type="fixed"/>
              <w:tblCellMar>
                <w:top w:w="15" w:type="dxa"/>
                <w:left w:w="15" w:type="dxa"/>
                <w:bottom w:w="15" w:type="dxa"/>
                <w:right w:w="15" w:type="dxa"/>
              </w:tblCellMar>
              <w:tblLook w:val="0400" w:firstRow="0" w:lastRow="0" w:firstColumn="0" w:lastColumn="0" w:noHBand="0" w:noVBand="1"/>
            </w:tblPr>
            <w:tblGrid>
              <w:gridCol w:w="353"/>
              <w:gridCol w:w="1173"/>
              <w:gridCol w:w="894"/>
              <w:gridCol w:w="2545"/>
              <w:gridCol w:w="1323"/>
            </w:tblGrid>
            <w:tr w:rsidR="006E31AC" w:rsidRPr="006E31AC" w:rsidTr="00465020">
              <w:trPr>
                <w:cantSplit/>
                <w:tblHeader/>
              </w:trPr>
              <w:tc>
                <w:tcPr>
                  <w:tcW w:w="6288" w:type="dxa"/>
                  <w:gridSpan w:val="5"/>
                  <w:tcBorders>
                    <w:top w:val="single" w:sz="4" w:space="0" w:color="000000"/>
                    <w:left w:val="single" w:sz="4" w:space="0" w:color="000000"/>
                    <w:bottom w:val="single" w:sz="4" w:space="0" w:color="000000"/>
                    <w:right w:val="single" w:sz="4" w:space="0" w:color="000000"/>
                  </w:tcBorders>
                </w:tcPr>
                <w:p w:rsidR="006E31AC" w:rsidRPr="006E31AC" w:rsidRDefault="006E31AC" w:rsidP="004817A5">
                  <w:pPr>
                    <w:spacing w:after="0" w:line="240" w:lineRule="auto"/>
                    <w:ind w:right="141"/>
                    <w:jc w:val="center"/>
                    <w:rPr>
                      <w:rFonts w:ascii="Times New Roman" w:eastAsia="Times New Roman" w:hAnsi="Times New Roman" w:cs="Times New Roman"/>
                      <w:sz w:val="20"/>
                      <w:szCs w:val="20"/>
                      <w:lang w:val="uk-UA"/>
                    </w:rPr>
                  </w:pPr>
                  <w:r w:rsidRPr="006E31AC">
                    <w:rPr>
                      <w:rFonts w:ascii="Times New Roman" w:eastAsia="Times New Roman" w:hAnsi="Times New Roman" w:cs="Times New Roman"/>
                      <w:b/>
                      <w:sz w:val="20"/>
                      <w:szCs w:val="20"/>
                      <w:lang w:val="uk-UA"/>
                    </w:rPr>
                    <w:t>Довідка про наявність працівників відповідної кваліфікації, які мають необхідні знання та досвід</w:t>
                  </w:r>
                </w:p>
              </w:tc>
            </w:tr>
            <w:tr w:rsidR="006E31AC" w:rsidRPr="006E31AC" w:rsidTr="00465020">
              <w:trPr>
                <w:cantSplit/>
                <w:tblHeader/>
              </w:trPr>
              <w:tc>
                <w:tcPr>
                  <w:tcW w:w="353" w:type="dxa"/>
                  <w:tcBorders>
                    <w:top w:val="single" w:sz="4" w:space="0" w:color="000000"/>
                    <w:left w:val="single" w:sz="4" w:space="0" w:color="000000"/>
                    <w:bottom w:val="single" w:sz="4" w:space="0" w:color="000000"/>
                    <w:right w:val="single" w:sz="4" w:space="0" w:color="000000"/>
                  </w:tcBorders>
                </w:tcPr>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Кваліфікація/</w:t>
                  </w:r>
                </w:p>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***Назва субпідрядника/ співвиконавця</w:t>
                  </w:r>
                </w:p>
              </w:tc>
            </w:tr>
            <w:tr w:rsidR="006E31AC" w:rsidRPr="006E31AC" w:rsidTr="00465020">
              <w:trPr>
                <w:cantSplit/>
                <w:tblHeader/>
              </w:trPr>
              <w:tc>
                <w:tcPr>
                  <w:tcW w:w="353" w:type="dxa"/>
                  <w:tcBorders>
                    <w:top w:val="single" w:sz="4" w:space="0" w:color="000000"/>
                    <w:left w:val="single" w:sz="4" w:space="0" w:color="000000"/>
                    <w:bottom w:val="single" w:sz="4" w:space="0" w:color="000000"/>
                    <w:right w:val="single" w:sz="4" w:space="0" w:color="000000"/>
                  </w:tcBorders>
                </w:tcPr>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p>
              </w:tc>
            </w:tr>
          </w:tbl>
          <w:p w:rsidR="006E31AC" w:rsidRPr="006E31AC" w:rsidRDefault="006E31AC" w:rsidP="004817A5">
            <w:pPr>
              <w:spacing w:after="0" w:line="240" w:lineRule="auto"/>
              <w:ind w:right="141"/>
              <w:jc w:val="both"/>
              <w:rPr>
                <w:rFonts w:ascii="Times New Roman" w:eastAsia="Times New Roman" w:hAnsi="Times New Roman" w:cs="Times New Roman"/>
                <w:i/>
                <w:sz w:val="20"/>
                <w:szCs w:val="20"/>
                <w:lang w:val="uk-UA"/>
              </w:rPr>
            </w:pPr>
            <w:r w:rsidRPr="006E31AC">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посада, прізвище, ініціали уповноваженої особи учасника</w:t>
            </w:r>
            <w:r w:rsidRPr="006E31AC">
              <w:rPr>
                <w:rFonts w:ascii="Times New Roman" w:eastAsia="Times New Roman" w:hAnsi="Times New Roman" w:cs="Times New Roman"/>
                <w:sz w:val="20"/>
                <w:szCs w:val="20"/>
                <w:lang w:val="uk-UA"/>
              </w:rPr>
              <w:tab/>
            </w:r>
            <w:r w:rsidRPr="006E31AC">
              <w:rPr>
                <w:rFonts w:ascii="Times New Roman" w:eastAsia="Times New Roman" w:hAnsi="Times New Roman" w:cs="Times New Roman"/>
                <w:sz w:val="20"/>
                <w:szCs w:val="20"/>
                <w:lang w:val="uk-UA"/>
              </w:rPr>
              <w:tab/>
            </w:r>
            <w:r w:rsidRPr="006E31AC">
              <w:rPr>
                <w:rFonts w:ascii="Times New Roman" w:eastAsia="Times New Roman" w:hAnsi="Times New Roman" w:cs="Times New Roman"/>
                <w:sz w:val="20"/>
                <w:szCs w:val="20"/>
                <w:lang w:val="uk-UA"/>
              </w:rPr>
              <w:tab/>
            </w:r>
            <w:r w:rsidRPr="006E31AC">
              <w:rPr>
                <w:rFonts w:ascii="Times New Roman" w:eastAsia="Times New Roman" w:hAnsi="Times New Roman" w:cs="Times New Roman"/>
                <w:sz w:val="20"/>
                <w:szCs w:val="20"/>
                <w:lang w:val="uk-UA"/>
              </w:rPr>
              <w:tab/>
              <w:t>(підпис)</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 xml:space="preserve">М.П. </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p>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 xml:space="preserve">2.2. До довідки додати документ на кожного працівника </w:t>
            </w:r>
            <w:r w:rsidRPr="006E31AC">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6E31AC">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p>
          <w:p w:rsidR="006E31AC" w:rsidRPr="006E31AC" w:rsidRDefault="006E31AC" w:rsidP="004817A5">
            <w:pPr>
              <w:pStyle w:val="21"/>
              <w:spacing w:after="0" w:line="240" w:lineRule="auto"/>
              <w:ind w:left="0" w:right="141"/>
              <w:rPr>
                <w:rFonts w:ascii="Times New Roman" w:hAnsi="Times New Roman"/>
                <w:sz w:val="20"/>
                <w:szCs w:val="20"/>
              </w:rPr>
            </w:pPr>
            <w:r w:rsidRPr="006E31AC">
              <w:rPr>
                <w:rFonts w:ascii="Times New Roman" w:eastAsia="Times New Roman" w:hAnsi="Times New Roman" w:cs="Times New Roman"/>
                <w:sz w:val="20"/>
                <w:szCs w:val="20"/>
              </w:rPr>
              <w:t>2.3.</w:t>
            </w:r>
            <w:r w:rsidRPr="006E31AC">
              <w:rPr>
                <w:rFonts w:ascii="Times New Roman" w:eastAsia="Times New Roman" w:hAnsi="Times New Roman"/>
                <w:sz w:val="20"/>
                <w:szCs w:val="20"/>
              </w:rPr>
              <w:t xml:space="preserve"> </w:t>
            </w:r>
            <w:r w:rsidRPr="006E31AC">
              <w:rPr>
                <w:rFonts w:ascii="Times New Roman" w:eastAsia="Times New Roman" w:hAnsi="Times New Roman"/>
                <w:sz w:val="20"/>
                <w:szCs w:val="20"/>
                <w:lang w:eastAsia="ru-RU"/>
              </w:rPr>
              <w:t>Учасник повинен мати необхідних інженерно-технічних працівників будівельних професій та достатню кількість  кваліфікованих робітників  будівельних спеціальностей та кваліфікованих працівників, необхідних для виконання робіт, які є предметом закупівлі.</w:t>
            </w:r>
            <w:r w:rsidRPr="006E31AC">
              <w:rPr>
                <w:rFonts w:ascii="Times New Roman" w:hAnsi="Times New Roman"/>
              </w:rPr>
              <w:t xml:space="preserve"> </w:t>
            </w:r>
            <w:r w:rsidRPr="006E31AC">
              <w:rPr>
                <w:rFonts w:ascii="Times New Roman" w:hAnsi="Times New Roman"/>
                <w:sz w:val="20"/>
                <w:szCs w:val="20"/>
              </w:rPr>
              <w:t>Обов’язкова наявність або залучення таких працівників:</w:t>
            </w:r>
          </w:p>
          <w:p w:rsidR="006E31AC" w:rsidRPr="006E31AC" w:rsidRDefault="006E31AC" w:rsidP="004817A5">
            <w:pPr>
              <w:pStyle w:val="21"/>
              <w:spacing w:after="0" w:line="240" w:lineRule="auto"/>
              <w:ind w:left="0" w:right="141"/>
              <w:rPr>
                <w:rFonts w:ascii="Times New Roman" w:hAnsi="Times New Roman"/>
                <w:sz w:val="20"/>
                <w:szCs w:val="20"/>
              </w:rPr>
            </w:pPr>
            <w:r w:rsidRPr="006E31AC">
              <w:rPr>
                <w:rFonts w:ascii="Times New Roman" w:hAnsi="Times New Roman"/>
                <w:sz w:val="20"/>
                <w:szCs w:val="20"/>
              </w:rPr>
              <w:t>- не менше одного інженера;</w:t>
            </w:r>
          </w:p>
          <w:p w:rsidR="006E31AC" w:rsidRPr="006E31AC" w:rsidRDefault="006E31AC" w:rsidP="004817A5">
            <w:pPr>
              <w:pStyle w:val="21"/>
              <w:spacing w:after="0" w:line="240" w:lineRule="auto"/>
              <w:ind w:left="0" w:right="141"/>
              <w:rPr>
                <w:rFonts w:ascii="Times New Roman" w:hAnsi="Times New Roman"/>
                <w:sz w:val="20"/>
                <w:szCs w:val="20"/>
              </w:rPr>
            </w:pPr>
            <w:r w:rsidRPr="006E31AC">
              <w:rPr>
                <w:rFonts w:ascii="Times New Roman" w:hAnsi="Times New Roman"/>
                <w:sz w:val="20"/>
                <w:szCs w:val="20"/>
              </w:rPr>
              <w:t>- не менше одного відповідального за виконання робіт;</w:t>
            </w:r>
          </w:p>
          <w:p w:rsidR="004817A5" w:rsidRDefault="006E31AC" w:rsidP="004817A5">
            <w:pPr>
              <w:spacing w:line="240" w:lineRule="auto"/>
              <w:ind w:right="141"/>
              <w:jc w:val="both"/>
              <w:rPr>
                <w:rFonts w:ascii="Times New Roman" w:hAnsi="Times New Roman"/>
                <w:sz w:val="20"/>
                <w:szCs w:val="20"/>
                <w:lang w:val="uk-UA"/>
              </w:rPr>
            </w:pPr>
            <w:r w:rsidRPr="006E31AC">
              <w:rPr>
                <w:rFonts w:ascii="Times New Roman" w:hAnsi="Times New Roman"/>
                <w:sz w:val="20"/>
                <w:szCs w:val="20"/>
                <w:lang w:val="uk-UA"/>
              </w:rPr>
              <w:t>-учасник повинен мати не менше одного працівника,  який пройшов навчання з пожежної безпеки та охорони праці. У складі тендерної пропозиції учасники повинні надати скановану з оригіналу копію  посвідчення про проходження навчання з з пожежної безпеки та сканованих з оригіналу копій посвідчень протоколів/витягів з протоколу комісії, що містить інформацію про результати перевірки знань з охорони праці, які чинні на дату кінцевого строку подання пропозицій</w:t>
            </w:r>
            <w:r w:rsidR="004817A5">
              <w:rPr>
                <w:rFonts w:ascii="Times New Roman" w:hAnsi="Times New Roman"/>
                <w:sz w:val="20"/>
                <w:szCs w:val="20"/>
                <w:lang w:val="uk-UA"/>
              </w:rPr>
              <w:t xml:space="preserve">, </w:t>
            </w:r>
          </w:p>
          <w:p w:rsidR="006E31AC" w:rsidRPr="004817A5" w:rsidRDefault="004817A5" w:rsidP="004817A5">
            <w:pPr>
              <w:spacing w:line="240" w:lineRule="auto"/>
              <w:ind w:right="141"/>
              <w:jc w:val="both"/>
              <w:rPr>
                <w:rFonts w:ascii="Times New Roman" w:eastAsia="Times New Roman" w:hAnsi="Times New Roman"/>
                <w:sz w:val="20"/>
                <w:szCs w:val="20"/>
                <w:lang w:val="uk-UA"/>
              </w:rPr>
            </w:pPr>
            <w:r>
              <w:rPr>
                <w:rFonts w:ascii="Times New Roman" w:hAnsi="Times New Roman"/>
                <w:sz w:val="20"/>
                <w:szCs w:val="20"/>
                <w:lang w:val="uk-UA"/>
              </w:rPr>
              <w:t>-працівників по верхолазних роботах (роботи на висоті) не менше 2, які мають мати посвідчення.</w:t>
            </w:r>
            <w:r w:rsidR="00C125D1">
              <w:rPr>
                <w:rFonts w:ascii="Times New Roman" w:hAnsi="Times New Roman"/>
                <w:sz w:val="20"/>
                <w:szCs w:val="20"/>
                <w:lang w:val="uk-UA"/>
              </w:rPr>
              <w:t xml:space="preserve"> Для підтвердження кваліфікації н</w:t>
            </w:r>
            <w:r>
              <w:rPr>
                <w:rFonts w:ascii="Times New Roman" w:hAnsi="Times New Roman"/>
                <w:sz w:val="20"/>
                <w:szCs w:val="20"/>
                <w:lang w:val="uk-UA"/>
              </w:rPr>
              <w:t>адати с</w:t>
            </w:r>
            <w:r w:rsidRPr="006E31AC">
              <w:rPr>
                <w:rFonts w:ascii="Times New Roman" w:hAnsi="Times New Roman"/>
                <w:sz w:val="20"/>
                <w:szCs w:val="20"/>
                <w:lang w:val="uk-UA"/>
              </w:rPr>
              <w:t>канован</w:t>
            </w:r>
            <w:r>
              <w:rPr>
                <w:rFonts w:ascii="Times New Roman" w:hAnsi="Times New Roman"/>
                <w:sz w:val="20"/>
                <w:szCs w:val="20"/>
                <w:lang w:val="uk-UA"/>
              </w:rPr>
              <w:t>і</w:t>
            </w:r>
            <w:r w:rsidRPr="006E31AC">
              <w:rPr>
                <w:rFonts w:ascii="Times New Roman" w:hAnsi="Times New Roman"/>
                <w:sz w:val="20"/>
                <w:szCs w:val="20"/>
                <w:lang w:val="uk-UA"/>
              </w:rPr>
              <w:t xml:space="preserve"> з оригіналу копі</w:t>
            </w:r>
            <w:r>
              <w:rPr>
                <w:rFonts w:ascii="Times New Roman" w:hAnsi="Times New Roman"/>
                <w:sz w:val="20"/>
                <w:szCs w:val="20"/>
                <w:lang w:val="uk-UA"/>
              </w:rPr>
              <w:t>ї</w:t>
            </w:r>
            <w:r w:rsidRPr="006E31AC">
              <w:rPr>
                <w:rFonts w:ascii="Times New Roman" w:hAnsi="Times New Roman"/>
                <w:sz w:val="20"/>
                <w:szCs w:val="20"/>
                <w:lang w:val="uk-UA"/>
              </w:rPr>
              <w:t xml:space="preserve"> посвідчень </w:t>
            </w:r>
            <w:r>
              <w:rPr>
                <w:rFonts w:ascii="Times New Roman" w:hAnsi="Times New Roman"/>
                <w:sz w:val="20"/>
                <w:szCs w:val="20"/>
                <w:lang w:val="uk-UA"/>
              </w:rPr>
              <w:t xml:space="preserve">та </w:t>
            </w:r>
            <w:r w:rsidRPr="006E31AC">
              <w:rPr>
                <w:rFonts w:ascii="Times New Roman" w:hAnsi="Times New Roman"/>
                <w:sz w:val="20"/>
                <w:szCs w:val="20"/>
                <w:lang w:val="uk-UA"/>
              </w:rPr>
              <w:t>протоколів/витягів з протоколу комісії</w:t>
            </w:r>
            <w:r>
              <w:rPr>
                <w:rFonts w:ascii="Times New Roman" w:hAnsi="Times New Roman"/>
                <w:sz w:val="20"/>
                <w:szCs w:val="20"/>
                <w:lang w:val="uk-UA"/>
              </w:rPr>
              <w:t>.</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Учасник повинен мати працівників відповідних кваліфікацій з допусками атестаційної комісії з охорони праці відповідно до своїх професій. Надати скановані копії діючих посвідчень про проходження навчання працівників на право вико</w:t>
            </w:r>
            <w:r>
              <w:rPr>
                <w:rFonts w:ascii="Times New Roman" w:eastAsia="Times New Roman" w:hAnsi="Times New Roman" w:cs="Times New Roman"/>
                <w:sz w:val="20"/>
                <w:szCs w:val="20"/>
                <w:lang w:val="uk-UA"/>
              </w:rPr>
              <w:t>н</w:t>
            </w:r>
            <w:r w:rsidRPr="006E31AC">
              <w:rPr>
                <w:rFonts w:ascii="Times New Roman" w:eastAsia="Times New Roman" w:hAnsi="Times New Roman" w:cs="Times New Roman"/>
                <w:sz w:val="20"/>
                <w:szCs w:val="20"/>
                <w:lang w:val="uk-UA"/>
              </w:rPr>
              <w:t xml:space="preserve">ання робіт з підвищеної небезпеки, та працівників з правом керування машинами та механізмами  згідно п.1.1. додатку № 1 до ТД.  </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Обов’язкова наявність в учасника  інженера – кошторисника (який повинен підписати кошторисну документацію), інформація про якого підтверджується шляхом подання в складі тендерної пропозиції: кваліфікаційного сертифікату.</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p>
        </w:tc>
      </w:tr>
      <w:tr w:rsidR="006E31AC" w:rsidRPr="006E31AC" w:rsidTr="00171224">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1AC" w:rsidRPr="006E31AC" w:rsidRDefault="006E31AC" w:rsidP="004817A5">
            <w:pPr>
              <w:spacing w:after="0" w:line="240" w:lineRule="auto"/>
              <w:ind w:right="141"/>
              <w:jc w:val="center"/>
              <w:rPr>
                <w:rFonts w:ascii="Times New Roman" w:eastAsia="Times New Roman" w:hAnsi="Times New Roman" w:cs="Times New Roman"/>
                <w:sz w:val="20"/>
                <w:szCs w:val="20"/>
                <w:lang w:val="uk-UA"/>
              </w:rPr>
            </w:pPr>
            <w:r w:rsidRPr="006E31AC">
              <w:rPr>
                <w:rFonts w:ascii="Times New Roman" w:eastAsia="Times New Roman" w:hAnsi="Times New Roman" w:cs="Times New Roman"/>
                <w:b/>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Pr>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r w:rsidRPr="006E31AC">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018" w:type="dxa"/>
            <w:tcBorders>
              <w:top w:val="single" w:sz="8" w:space="0" w:color="000000"/>
              <w:left w:val="single" w:sz="8" w:space="0" w:color="000000"/>
              <w:bottom w:val="single" w:sz="8" w:space="0" w:color="000000"/>
              <w:right w:val="single" w:sz="8" w:space="0" w:color="000000"/>
            </w:tcBorders>
          </w:tcPr>
          <w:p w:rsidR="006E31AC" w:rsidRPr="006E31AC" w:rsidRDefault="006E31AC" w:rsidP="004817A5">
            <w:pPr>
              <w:shd w:val="clear" w:color="auto" w:fill="FFFFFF"/>
              <w:spacing w:after="0" w:line="240" w:lineRule="auto"/>
              <w:ind w:right="141"/>
              <w:jc w:val="both"/>
              <w:rPr>
                <w:rFonts w:ascii="Times New Roman" w:eastAsia="Times New Roman" w:hAnsi="Times New Roman" w:cs="Times New Roman"/>
                <w:sz w:val="20"/>
                <w:szCs w:val="20"/>
                <w:lang w:val="uk-UA"/>
              </w:rPr>
            </w:pP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w:t>
            </w:r>
            <w:r w:rsidR="00C125D1" w:rsidRPr="00C125D1">
              <w:rPr>
                <w:rFonts w:ascii="Times New Roman" w:eastAsia="Times New Roman" w:hAnsi="Times New Roman" w:cs="Times New Roman"/>
                <w:sz w:val="20"/>
                <w:szCs w:val="20"/>
                <w:lang w:val="uk-UA"/>
              </w:rPr>
              <w:t>не менше двох</w:t>
            </w:r>
            <w:r w:rsidR="00C125D1" w:rsidRPr="00C125D1">
              <w:rPr>
                <w:rFonts w:ascii="Times New Roman" w:eastAsia="Times New Roman" w:hAnsi="Times New Roman" w:cs="Times New Roman"/>
                <w:sz w:val="20"/>
                <w:szCs w:val="20"/>
                <w:lang w:val="uk-UA"/>
              </w:rPr>
              <w:t xml:space="preserve"> </w:t>
            </w:r>
            <w:r w:rsidR="00C125D1" w:rsidRPr="00C125D1">
              <w:rPr>
                <w:rFonts w:ascii="Times New Roman" w:eastAsia="Times New Roman" w:hAnsi="Times New Roman" w:cs="Times New Roman"/>
                <w:sz w:val="20"/>
                <w:szCs w:val="20"/>
                <w:lang w:val="uk-UA"/>
              </w:rPr>
              <w:t>договорів</w:t>
            </w:r>
            <w:r w:rsidRPr="006E31AC">
              <w:rPr>
                <w:rFonts w:ascii="Times New Roman" w:eastAsia="Times New Roman" w:hAnsi="Times New Roman" w:cs="Times New Roman"/>
                <w:sz w:val="20"/>
                <w:szCs w:val="20"/>
                <w:lang w:val="uk-UA"/>
              </w:rPr>
              <w:t>).</w:t>
            </w:r>
          </w:p>
          <w:p w:rsidR="00C125D1" w:rsidRPr="00C125D1" w:rsidRDefault="00C125D1" w:rsidP="00C125D1">
            <w:pPr>
              <w:spacing w:after="0" w:line="240" w:lineRule="auto"/>
              <w:ind w:right="141"/>
              <w:jc w:val="both"/>
              <w:rPr>
                <w:rFonts w:ascii="Times New Roman" w:eastAsia="Times New Roman" w:hAnsi="Times New Roman" w:cs="Times New Roman"/>
                <w:sz w:val="20"/>
                <w:szCs w:val="20"/>
                <w:lang w:val="uk-UA"/>
              </w:rPr>
            </w:pPr>
            <w:r w:rsidRPr="00C125D1">
              <w:rPr>
                <w:rFonts w:ascii="Times New Roman" w:eastAsia="Times New Roman" w:hAnsi="Times New Roman" w:cs="Times New Roman"/>
                <w:sz w:val="20"/>
                <w:szCs w:val="20"/>
                <w:lang w:val="uk-UA"/>
              </w:rPr>
              <w:t>а саме:</w:t>
            </w:r>
          </w:p>
          <w:p w:rsidR="00C125D1" w:rsidRPr="00C125D1" w:rsidRDefault="00C125D1" w:rsidP="00C125D1">
            <w:pPr>
              <w:spacing w:after="0" w:line="240" w:lineRule="auto"/>
              <w:ind w:right="141"/>
              <w:jc w:val="both"/>
              <w:rPr>
                <w:rFonts w:ascii="Times New Roman" w:eastAsia="Times New Roman" w:hAnsi="Times New Roman" w:cs="Times New Roman"/>
                <w:b/>
                <w:bCs/>
                <w:sz w:val="20"/>
                <w:szCs w:val="20"/>
                <w:lang w:val="uk-UA"/>
              </w:rPr>
            </w:pPr>
            <w:r w:rsidRPr="00C125D1">
              <w:rPr>
                <w:rFonts w:ascii="Times New Roman" w:eastAsia="Times New Roman" w:hAnsi="Times New Roman" w:cs="Times New Roman"/>
                <w:b/>
                <w:bCs/>
                <w:sz w:val="20"/>
                <w:szCs w:val="20"/>
                <w:lang w:val="uk-UA"/>
              </w:rPr>
              <w:t>- аналогічним вважається  договір на виконання ремонтно-реставраційних робіт (не менше одного) та поточний ремонт покрівлі/даху (не менше одного)</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highlight w:val="white"/>
                <w:lang w:val="uk-UA"/>
              </w:rPr>
            </w:pPr>
            <w:r w:rsidRPr="006E31AC">
              <w:rPr>
                <w:rFonts w:ascii="Times New Roman" w:eastAsia="Times New Roman" w:hAnsi="Times New Roman" w:cs="Times New Roman"/>
                <w:sz w:val="20"/>
                <w:szCs w:val="20"/>
                <w:lang w:val="uk-UA"/>
              </w:rPr>
              <w:t>3.1.3. копії/ю документів/а на підтвердження виконання договор</w:t>
            </w:r>
            <w:r w:rsidR="00C125D1">
              <w:rPr>
                <w:rFonts w:ascii="Times New Roman" w:eastAsia="Times New Roman" w:hAnsi="Times New Roman" w:cs="Times New Roman"/>
                <w:sz w:val="20"/>
                <w:szCs w:val="20"/>
                <w:lang w:val="uk-UA"/>
              </w:rPr>
              <w:t>ів</w:t>
            </w:r>
            <w:bookmarkStart w:id="0" w:name="_GoBack"/>
            <w:bookmarkEnd w:id="0"/>
            <w:r w:rsidRPr="006E31AC">
              <w:rPr>
                <w:rFonts w:ascii="Times New Roman" w:eastAsia="Times New Roman" w:hAnsi="Times New Roman" w:cs="Times New Roman"/>
                <w:sz w:val="20"/>
                <w:szCs w:val="20"/>
                <w:lang w:val="uk-UA"/>
              </w:rPr>
              <w:t>, заз</w:t>
            </w:r>
            <w:r w:rsidRPr="006E31AC">
              <w:rPr>
                <w:rFonts w:ascii="Times New Roman" w:eastAsia="Times New Roman" w:hAnsi="Times New Roman" w:cs="Times New Roman"/>
                <w:sz w:val="20"/>
                <w:szCs w:val="20"/>
                <w:highlight w:val="white"/>
                <w:lang w:val="uk-UA"/>
              </w:rPr>
              <w:t>наченого в наданій Учасником довідці. </w:t>
            </w:r>
          </w:p>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r w:rsidR="006E31AC" w:rsidRPr="006E31AC" w:rsidTr="00171224">
        <w:trPr>
          <w:cantSplit/>
          <w:trHeight w:val="81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1AC" w:rsidRPr="006E31AC" w:rsidRDefault="006E31AC" w:rsidP="004817A5">
            <w:pPr>
              <w:spacing w:after="0" w:line="240" w:lineRule="auto"/>
              <w:ind w:right="141"/>
              <w:jc w:val="center"/>
              <w:rPr>
                <w:rFonts w:ascii="Times New Roman" w:eastAsia="Times New Roman" w:hAnsi="Times New Roman" w:cs="Times New Roman"/>
                <w:sz w:val="20"/>
                <w:szCs w:val="20"/>
                <w:lang w:val="uk-UA"/>
              </w:rPr>
            </w:pPr>
            <w:r w:rsidRPr="006E31AC">
              <w:rPr>
                <w:rFonts w:ascii="Times New Roman" w:eastAsia="Times New Roman" w:hAnsi="Times New Roman" w:cs="Times New Roman"/>
                <w:b/>
                <w:sz w:val="20"/>
                <w:szCs w:val="20"/>
                <w:lang w:val="uk-UA"/>
              </w:rPr>
              <w:t>4</w:t>
            </w:r>
          </w:p>
        </w:tc>
        <w:tc>
          <w:tcPr>
            <w:tcW w:w="2273" w:type="dxa"/>
            <w:tcBorders>
              <w:top w:val="single" w:sz="8" w:space="0" w:color="000000"/>
              <w:left w:val="single" w:sz="8" w:space="0" w:color="000000"/>
              <w:bottom w:val="single" w:sz="8" w:space="0" w:color="000000"/>
              <w:right w:val="single" w:sz="8" w:space="0" w:color="000000"/>
            </w:tcBorders>
          </w:tcPr>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r w:rsidRPr="006E31AC">
              <w:rPr>
                <w:rFonts w:ascii="Times New Roman" w:eastAsia="Times New Roman" w:hAnsi="Times New Roman" w:cs="Times New Roman"/>
                <w:b/>
                <w:sz w:val="20"/>
                <w:szCs w:val="20"/>
                <w:lang w:val="uk-UA"/>
              </w:rPr>
              <w:t>Наявність фінансової спроможності*</w:t>
            </w:r>
          </w:p>
          <w:p w:rsidR="006E31AC" w:rsidRPr="006E31AC" w:rsidRDefault="006E31AC" w:rsidP="004817A5">
            <w:pPr>
              <w:spacing w:after="0" w:line="240" w:lineRule="auto"/>
              <w:ind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i/>
                <w:sz w:val="20"/>
                <w:szCs w:val="20"/>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7018" w:type="dxa"/>
            <w:tcBorders>
              <w:top w:val="single" w:sz="8" w:space="0" w:color="000000"/>
              <w:left w:val="single" w:sz="8" w:space="0" w:color="000000"/>
              <w:bottom w:val="single" w:sz="8" w:space="0" w:color="000000"/>
              <w:right w:val="single" w:sz="8" w:space="0" w:color="000000"/>
            </w:tcBorders>
          </w:tcPr>
          <w:p w:rsidR="006E31AC" w:rsidRPr="00E505C3" w:rsidRDefault="006E31AC" w:rsidP="004817A5">
            <w:pPr>
              <w:spacing w:after="0" w:line="276" w:lineRule="auto"/>
              <w:ind w:right="141"/>
              <w:jc w:val="both"/>
              <w:rPr>
                <w:rFonts w:ascii="Times New Roman" w:eastAsia="Times New Roman" w:hAnsi="Times New Roman" w:cs="Times New Roman"/>
                <w:sz w:val="20"/>
                <w:szCs w:val="20"/>
                <w:lang w:val="uk-UA"/>
              </w:rPr>
            </w:pPr>
            <w:r w:rsidRPr="00E505C3">
              <w:rPr>
                <w:rFonts w:ascii="Times New Roman" w:eastAsia="Times New Roman" w:hAnsi="Times New Roman" w:cs="Times New Roman"/>
                <w:sz w:val="20"/>
                <w:szCs w:val="20"/>
                <w:lang w:val="uk-UA"/>
              </w:rPr>
              <w:t>4.1.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p w:rsidR="006E31AC" w:rsidRPr="00E505C3" w:rsidRDefault="006E31AC" w:rsidP="004817A5">
            <w:pPr>
              <w:spacing w:after="0" w:line="276" w:lineRule="auto"/>
              <w:ind w:right="141"/>
              <w:jc w:val="both"/>
              <w:rPr>
                <w:rFonts w:ascii="Times New Roman" w:eastAsia="Times New Roman" w:hAnsi="Times New Roman" w:cs="Times New Roman"/>
                <w:sz w:val="20"/>
                <w:szCs w:val="20"/>
                <w:lang w:val="uk-UA"/>
              </w:rPr>
            </w:pPr>
          </w:p>
          <w:p w:rsidR="006E31AC" w:rsidRPr="00E505C3" w:rsidRDefault="006E31AC" w:rsidP="004817A5">
            <w:pPr>
              <w:pBdr>
                <w:top w:val="nil"/>
                <w:left w:val="nil"/>
                <w:bottom w:val="nil"/>
                <w:right w:val="nil"/>
                <w:between w:val="nil"/>
              </w:pBdr>
              <w:shd w:val="clear" w:color="auto" w:fill="FFFFFF"/>
              <w:spacing w:after="150"/>
              <w:ind w:right="141"/>
              <w:rPr>
                <w:rFonts w:ascii="Times New Roman" w:hAnsi="Times New Roman" w:cs="Times New Roman"/>
                <w:sz w:val="20"/>
                <w:szCs w:val="20"/>
                <w:lang w:val="uk-UA"/>
              </w:rPr>
            </w:pPr>
            <w:r w:rsidRPr="00E505C3">
              <w:rPr>
                <w:rFonts w:ascii="Times New Roman" w:eastAsia="Arial" w:hAnsi="Times New Roman" w:cs="Times New Roman"/>
                <w:sz w:val="20"/>
                <w:szCs w:val="20"/>
                <w:lang w:val="uk-UA"/>
              </w:rPr>
              <w:t xml:space="preserve">Учасник надає документи фінансової звітності (баланс, звіт про фінансові результати) за останній звітній рік, які підтверджують, що обсяг річного доходу (виручки) учасника закупівлі за відповідний період не є меншим ніж  </w:t>
            </w:r>
            <w:r w:rsidR="00E505C3" w:rsidRPr="00E505C3">
              <w:rPr>
                <w:rFonts w:ascii="Times New Roman" w:eastAsia="Arial" w:hAnsi="Times New Roman" w:cs="Times New Roman"/>
                <w:sz w:val="20"/>
                <w:szCs w:val="20"/>
                <w:lang w:val="uk-UA"/>
              </w:rPr>
              <w:t xml:space="preserve">8 </w:t>
            </w:r>
            <w:r w:rsidRPr="00E505C3">
              <w:rPr>
                <w:rFonts w:ascii="Times New Roman" w:eastAsia="Arial" w:hAnsi="Times New Roman" w:cs="Times New Roman"/>
                <w:sz w:val="20"/>
                <w:szCs w:val="20"/>
                <w:lang w:val="uk-UA"/>
              </w:rPr>
              <w:t> 000 000 .00 грн.</w:t>
            </w:r>
          </w:p>
          <w:p w:rsidR="006E31AC" w:rsidRPr="00E505C3" w:rsidRDefault="006E31AC" w:rsidP="004817A5">
            <w:pPr>
              <w:widowControl w:val="0"/>
              <w:tabs>
                <w:tab w:val="left" w:pos="709"/>
              </w:tabs>
              <w:suppressAutoHyphens/>
              <w:spacing w:after="0" w:line="200" w:lineRule="atLeast"/>
              <w:ind w:right="141"/>
              <w:jc w:val="both"/>
              <w:rPr>
                <w:rFonts w:ascii="Times New Roman" w:eastAsia="Arial" w:hAnsi="Times New Roman" w:cs="Times New Roman"/>
                <w:sz w:val="20"/>
                <w:szCs w:val="20"/>
                <w:lang w:val="uk-UA"/>
              </w:rPr>
            </w:pPr>
            <w:r w:rsidRPr="00E505C3">
              <w:rPr>
                <w:rFonts w:ascii="Times New Roman" w:eastAsia="Arial" w:hAnsi="Times New Roman" w:cs="Times New Roman"/>
                <w:sz w:val="20"/>
                <w:szCs w:val="20"/>
                <w:lang w:val="uk-UA"/>
              </w:rPr>
              <w:t xml:space="preserve">Звітним періодом для складання фінансової звітності є 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rsidR="006E31AC" w:rsidRPr="00E505C3" w:rsidRDefault="006E31AC" w:rsidP="004817A5">
            <w:pPr>
              <w:spacing w:after="0" w:line="240" w:lineRule="auto"/>
              <w:ind w:right="141"/>
              <w:jc w:val="both"/>
              <w:rPr>
                <w:rFonts w:ascii="Times New Roman" w:eastAsia="Times New Roman" w:hAnsi="Times New Roman" w:cs="Times New Roman"/>
                <w:sz w:val="20"/>
                <w:szCs w:val="20"/>
                <w:lang w:val="uk-UA"/>
              </w:rPr>
            </w:pPr>
            <w:r w:rsidRPr="00E505C3">
              <w:rPr>
                <w:rFonts w:ascii="Times New Roman" w:eastAsia="Arial" w:hAnsi="Times New Roman" w:cs="Times New Roman"/>
                <w:sz w:val="20"/>
                <w:szCs w:val="20"/>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rsidR="006E31AC" w:rsidRPr="006E31AC" w:rsidRDefault="006E31AC" w:rsidP="004817A5">
      <w:pPr>
        <w:spacing w:before="240" w:after="0" w:line="240" w:lineRule="auto"/>
        <w:ind w:right="141" w:firstLine="720"/>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E31AC" w:rsidRPr="006E31AC" w:rsidRDefault="006E31AC" w:rsidP="004817A5">
      <w:pPr>
        <w:shd w:val="clear" w:color="auto" w:fill="FFFFFF"/>
        <w:spacing w:after="0" w:line="240" w:lineRule="auto"/>
        <w:ind w:right="141"/>
        <w:rPr>
          <w:rFonts w:ascii="Times New Roman" w:eastAsia="Times New Roman" w:hAnsi="Times New Roman" w:cs="Times New Roman"/>
          <w:sz w:val="20"/>
          <w:szCs w:val="20"/>
          <w:lang w:val="uk-UA"/>
        </w:rPr>
      </w:pP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400"/>
        <w:gridCol w:w="9219"/>
      </w:tblGrid>
      <w:tr w:rsidR="006E31AC" w:rsidRPr="006E31AC" w:rsidTr="00465020">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E31AC" w:rsidRPr="006E31AC" w:rsidRDefault="006E31AC" w:rsidP="004817A5">
            <w:pPr>
              <w:spacing w:after="0" w:line="240" w:lineRule="auto"/>
              <w:ind w:left="100" w:right="141"/>
              <w:jc w:val="center"/>
              <w:rPr>
                <w:rFonts w:ascii="Times New Roman" w:eastAsia="Times New Roman" w:hAnsi="Times New Roman" w:cs="Times New Roman"/>
                <w:sz w:val="20"/>
                <w:szCs w:val="20"/>
                <w:lang w:val="uk-UA"/>
              </w:rPr>
            </w:pPr>
            <w:r w:rsidRPr="006E31AC">
              <w:rPr>
                <w:rFonts w:ascii="Times New Roman" w:eastAsia="Times New Roman" w:hAnsi="Times New Roman" w:cs="Times New Roman"/>
                <w:b/>
                <w:sz w:val="20"/>
                <w:szCs w:val="20"/>
                <w:lang w:val="uk-UA"/>
              </w:rPr>
              <w:lastRenderedPageBreak/>
              <w:t>Інші документи від Учасника:</w:t>
            </w:r>
          </w:p>
        </w:tc>
      </w:tr>
      <w:tr w:rsidR="006E31AC" w:rsidRPr="006E31AC" w:rsidTr="00465020">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1AC" w:rsidRPr="006E31AC" w:rsidRDefault="006E31AC" w:rsidP="004817A5">
            <w:pPr>
              <w:spacing w:after="0" w:line="240" w:lineRule="auto"/>
              <w:ind w:left="100" w:right="141"/>
              <w:rPr>
                <w:rFonts w:ascii="Times New Roman" w:eastAsia="Times New Roman" w:hAnsi="Times New Roman" w:cs="Times New Roman"/>
                <w:sz w:val="20"/>
                <w:szCs w:val="20"/>
                <w:lang w:val="uk-UA"/>
              </w:rPr>
            </w:pPr>
            <w:r w:rsidRPr="006E31AC">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Pr>
          <w:p w:rsidR="006E31AC" w:rsidRPr="006E31AC" w:rsidRDefault="006E31AC" w:rsidP="004817A5">
            <w:pPr>
              <w:spacing w:after="0" w:line="240" w:lineRule="auto"/>
              <w:ind w:left="100" w:right="141"/>
              <w:jc w:val="both"/>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E31AC" w:rsidRPr="006E31AC" w:rsidTr="0046502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1AC" w:rsidRPr="006E31AC" w:rsidRDefault="006E31AC" w:rsidP="004817A5">
            <w:pPr>
              <w:spacing w:before="240" w:after="0" w:line="240" w:lineRule="auto"/>
              <w:ind w:left="100" w:right="141"/>
              <w:rPr>
                <w:rFonts w:ascii="Times New Roman" w:eastAsia="Times New Roman" w:hAnsi="Times New Roman" w:cs="Times New Roman"/>
                <w:sz w:val="20"/>
                <w:szCs w:val="20"/>
                <w:lang w:val="uk-UA"/>
              </w:rPr>
            </w:pPr>
            <w:r w:rsidRPr="006E31AC">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Pr>
          <w:p w:rsidR="006E31AC" w:rsidRPr="006E31AC" w:rsidRDefault="006E31AC" w:rsidP="004817A5">
            <w:pPr>
              <w:spacing w:after="0" w:line="240" w:lineRule="auto"/>
              <w:ind w:left="100" w:right="141" w:hanging="20"/>
              <w:jc w:val="both"/>
              <w:rPr>
                <w:rFonts w:ascii="Times New Roman" w:eastAsia="Times New Roman" w:hAnsi="Times New Roman" w:cs="Times New Roman"/>
                <w:i/>
                <w:sz w:val="20"/>
                <w:szCs w:val="20"/>
                <w:lang w:val="uk-UA"/>
              </w:rPr>
            </w:pPr>
            <w:r w:rsidRPr="006E31AC">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6E31AC">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E31AC">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p w:rsidR="006E31AC" w:rsidRPr="006E31AC" w:rsidRDefault="006E31AC" w:rsidP="004817A5">
            <w:pPr>
              <w:spacing w:after="0" w:line="240" w:lineRule="auto"/>
              <w:ind w:left="100" w:right="141" w:hanging="20"/>
              <w:jc w:val="both"/>
              <w:rPr>
                <w:rFonts w:ascii="Times New Roman" w:eastAsia="Times New Roman" w:hAnsi="Times New Roman" w:cs="Times New Roman"/>
                <w:b/>
                <w:sz w:val="20"/>
                <w:szCs w:val="20"/>
                <w:lang w:val="uk-UA"/>
              </w:rPr>
            </w:pPr>
            <w:r w:rsidRPr="006E31AC">
              <w:rPr>
                <w:rFonts w:ascii="Times New Roman" w:eastAsia="Times New Roman" w:hAnsi="Times New Roman" w:cs="Times New Roman"/>
                <w:b/>
                <w:i/>
                <w:sz w:val="20"/>
                <w:szCs w:val="20"/>
                <w:lang w:val="uk-UA"/>
              </w:rPr>
              <w:t>Клас наслідків (відповідальності) вказаного об’єкта будівництва СС3.</w:t>
            </w:r>
          </w:p>
        </w:tc>
      </w:tr>
      <w:tr w:rsidR="006E31AC" w:rsidRPr="006E31AC" w:rsidTr="0046502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1AC" w:rsidRPr="006E31AC" w:rsidRDefault="006E31AC" w:rsidP="004817A5">
            <w:pPr>
              <w:spacing w:before="240" w:after="0" w:line="240" w:lineRule="auto"/>
              <w:ind w:left="100" w:right="141"/>
              <w:rPr>
                <w:rFonts w:ascii="Times New Roman" w:eastAsia="Times New Roman" w:hAnsi="Times New Roman" w:cs="Times New Roman"/>
                <w:b/>
                <w:sz w:val="20"/>
                <w:szCs w:val="20"/>
                <w:lang w:val="uk-UA"/>
              </w:rPr>
            </w:pPr>
            <w:r w:rsidRPr="006E31AC">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Pr>
          <w:p w:rsidR="006E31AC" w:rsidRPr="006E31AC" w:rsidRDefault="006E31AC" w:rsidP="004817A5">
            <w:pPr>
              <w:spacing w:after="0" w:line="240" w:lineRule="auto"/>
              <w:ind w:left="140" w:right="141"/>
              <w:jc w:val="both"/>
              <w:rPr>
                <w:rFonts w:ascii="Times New Roman" w:eastAsia="Times New Roman" w:hAnsi="Times New Roman" w:cs="Times New Roman"/>
                <w:sz w:val="20"/>
                <w:szCs w:val="20"/>
                <w:highlight w:val="yellow"/>
                <w:lang w:val="uk-UA"/>
              </w:rPr>
            </w:pPr>
            <w:r w:rsidRPr="006E31AC">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6E31AC">
                <w:rPr>
                  <w:rFonts w:ascii="Times New Roman" w:eastAsia="Times New Roman" w:hAnsi="Times New Roman" w:cs="Times New Roman"/>
                  <w:sz w:val="20"/>
                  <w:szCs w:val="20"/>
                  <w:lang w:val="uk-UA"/>
                </w:rPr>
                <w:t>Наказом № 794/21</w:t>
              </w:r>
            </w:hyperlink>
            <w:r w:rsidRPr="006E31AC">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r w:rsidR="006E31AC" w:rsidRPr="006E31AC" w:rsidTr="0046502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1AC" w:rsidRPr="006E31AC" w:rsidRDefault="006E31AC" w:rsidP="004817A5">
            <w:pPr>
              <w:spacing w:before="240" w:after="0" w:line="240" w:lineRule="auto"/>
              <w:ind w:left="100" w:right="141"/>
              <w:rPr>
                <w:rFonts w:ascii="Times New Roman" w:eastAsia="Times New Roman" w:hAnsi="Times New Roman" w:cs="Times New Roman"/>
                <w:b/>
                <w:sz w:val="20"/>
                <w:szCs w:val="20"/>
                <w:lang w:val="uk-UA"/>
              </w:rPr>
            </w:pPr>
            <w:r w:rsidRPr="006E31AC">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Pr>
          <w:p w:rsidR="006E31AC" w:rsidRPr="006E31AC" w:rsidRDefault="006E31AC" w:rsidP="004817A5">
            <w:pPr>
              <w:spacing w:after="0" w:line="240" w:lineRule="auto"/>
              <w:ind w:left="140" w:right="141"/>
              <w:jc w:val="both"/>
              <w:rPr>
                <w:rFonts w:ascii="Times New Roman" w:eastAsia="Times New Roman" w:hAnsi="Times New Roman" w:cs="Times New Roman"/>
                <w:sz w:val="20"/>
                <w:szCs w:val="20"/>
                <w:lang w:val="uk-UA"/>
              </w:rPr>
            </w:pPr>
            <w:r w:rsidRPr="006E31AC">
              <w:rPr>
                <w:rFonts w:ascii="Times New Roman" w:eastAsia="Times New Roman" w:hAnsi="Times New Roman"/>
                <w:sz w:val="20"/>
                <w:szCs w:val="20"/>
                <w:lang w:val="uk-UA"/>
              </w:rPr>
              <w:t>Довідка, яка містить інформацію про учасника закупівлі (згідно Додатку №4 до тендерної документації</w:t>
            </w:r>
          </w:p>
        </w:tc>
      </w:tr>
      <w:tr w:rsidR="006E31AC" w:rsidRPr="006E31AC" w:rsidTr="0046502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1AC" w:rsidRPr="006E31AC" w:rsidRDefault="006E31AC" w:rsidP="004817A5">
            <w:pPr>
              <w:spacing w:before="240" w:after="0" w:line="240" w:lineRule="auto"/>
              <w:ind w:left="100" w:right="141"/>
              <w:rPr>
                <w:rFonts w:ascii="Times New Roman" w:eastAsia="Times New Roman" w:hAnsi="Times New Roman" w:cs="Times New Roman"/>
                <w:b/>
                <w:sz w:val="20"/>
                <w:szCs w:val="20"/>
                <w:lang w:val="uk-UA"/>
              </w:rPr>
            </w:pPr>
            <w:r w:rsidRPr="006E31AC">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Pr>
          <w:p w:rsidR="006E31AC" w:rsidRPr="006E31AC" w:rsidRDefault="006E31AC" w:rsidP="004817A5">
            <w:pPr>
              <w:spacing w:after="0" w:line="240" w:lineRule="auto"/>
              <w:ind w:right="141"/>
              <w:jc w:val="both"/>
              <w:rPr>
                <w:rFonts w:ascii="Times New Roman" w:eastAsia="Times New Roman" w:hAnsi="Times New Roman"/>
                <w:sz w:val="20"/>
                <w:szCs w:val="20"/>
                <w:lang w:val="uk-UA"/>
              </w:rPr>
            </w:pPr>
            <w:r w:rsidRPr="006E31AC">
              <w:rPr>
                <w:rFonts w:ascii="Times New Roman" w:eastAsia="Times New Roman" w:hAnsi="Times New Roman"/>
                <w:sz w:val="20"/>
                <w:szCs w:val="20"/>
                <w:lang w:val="uk-UA"/>
              </w:rPr>
              <w:t>Гарантійний  лист від Учасника  наступного змісту:</w:t>
            </w:r>
          </w:p>
          <w:p w:rsidR="006E31AC" w:rsidRPr="006E31AC" w:rsidRDefault="006E31AC" w:rsidP="004817A5">
            <w:pPr>
              <w:spacing w:after="0" w:line="240" w:lineRule="auto"/>
              <w:ind w:left="140" w:right="141"/>
              <w:jc w:val="both"/>
              <w:rPr>
                <w:rFonts w:ascii="Times New Roman" w:eastAsia="Times New Roman" w:hAnsi="Times New Roman"/>
                <w:sz w:val="20"/>
                <w:szCs w:val="20"/>
                <w:lang w:val="uk-UA"/>
              </w:rPr>
            </w:pPr>
            <w:r w:rsidRPr="006E31AC">
              <w:rPr>
                <w:rFonts w:ascii="Times New Roman" w:eastAsia="Times New Roman" w:hAnsi="Times New Roman"/>
                <w:sz w:val="20"/>
                <w:szCs w:val="20"/>
                <w:lang w:val="uk-UA"/>
              </w:rPr>
              <w:t xml:space="preserve">“Даним листом підтверджуємо, що </w:t>
            </w:r>
            <w:r w:rsidRPr="006E31AC">
              <w:rPr>
                <w:rFonts w:ascii="Times New Roman" w:eastAsia="Times New Roman" w:hAnsi="Times New Roman"/>
                <w:sz w:val="20"/>
                <w:szCs w:val="20"/>
                <w:u w:val="single"/>
                <w:lang w:val="uk-UA"/>
              </w:rPr>
              <w:t>зазначити найменування Учасника</w:t>
            </w:r>
            <w:r w:rsidRPr="006E31AC">
              <w:rPr>
                <w:rFonts w:ascii="Times New Roman" w:eastAsia="Times New Roman" w:hAnsi="Times New Roman"/>
                <w:sz w:val="20"/>
                <w:szCs w:val="20"/>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6E31AC">
              <w:rPr>
                <w:rFonts w:ascii="Times New Roman" w:eastAsia="Times New Roman" w:hAnsi="Times New Roman"/>
                <w:sz w:val="24"/>
                <w:lang w:val="uk-UA"/>
              </w:rPr>
              <w:t>”. </w:t>
            </w:r>
          </w:p>
        </w:tc>
      </w:tr>
      <w:tr w:rsidR="006E31AC" w:rsidRPr="006E31AC" w:rsidTr="0046502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1AC" w:rsidRPr="006E31AC" w:rsidRDefault="006E31AC" w:rsidP="004817A5">
            <w:pPr>
              <w:spacing w:before="240" w:after="0" w:line="240" w:lineRule="auto"/>
              <w:ind w:left="100" w:right="141"/>
              <w:rPr>
                <w:rFonts w:ascii="Times New Roman" w:eastAsia="Times New Roman" w:hAnsi="Times New Roman" w:cs="Times New Roman"/>
                <w:b/>
                <w:sz w:val="20"/>
                <w:szCs w:val="20"/>
                <w:lang w:val="uk-UA"/>
              </w:rPr>
            </w:pPr>
            <w:r w:rsidRPr="006E31AC">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Pr>
          <w:p w:rsidR="006E31AC" w:rsidRPr="006E31AC" w:rsidRDefault="006E31AC" w:rsidP="004817A5">
            <w:pPr>
              <w:spacing w:after="0" w:line="240" w:lineRule="auto"/>
              <w:ind w:right="141"/>
              <w:jc w:val="both"/>
              <w:rPr>
                <w:rFonts w:ascii="Times New Roman" w:eastAsia="Times New Roman" w:hAnsi="Times New Roman"/>
                <w:sz w:val="20"/>
                <w:szCs w:val="20"/>
                <w:lang w:val="uk-UA"/>
              </w:rPr>
            </w:pPr>
            <w:r w:rsidRPr="006E31AC">
              <w:rPr>
                <w:rFonts w:ascii="Times New Roman" w:eastAsia="Times New Roman" w:hAnsi="Times New Roman"/>
                <w:sz w:val="20"/>
                <w:szCs w:val="20"/>
                <w:lang w:val="uk-UA"/>
              </w:rPr>
              <w:t>Довідка (інформація) про відсутність застосування санкцій, передбачених статтею 236 ГКУ наступного змісту:</w:t>
            </w:r>
          </w:p>
          <w:p w:rsidR="006E31AC" w:rsidRPr="006E31AC" w:rsidRDefault="006E31AC" w:rsidP="004817A5">
            <w:pPr>
              <w:spacing w:after="0" w:line="240" w:lineRule="auto"/>
              <w:ind w:right="141"/>
              <w:rPr>
                <w:rFonts w:ascii="Times New Roman" w:eastAsia="Times New Roman" w:hAnsi="Times New Roman"/>
                <w:sz w:val="20"/>
                <w:szCs w:val="20"/>
                <w:shd w:val="clear" w:color="auto" w:fill="FFFFFF"/>
                <w:lang w:val="uk-UA"/>
              </w:rPr>
            </w:pPr>
            <w:r w:rsidRPr="006E31AC">
              <w:rPr>
                <w:rFonts w:ascii="Times New Roman" w:eastAsia="Times New Roman" w:hAnsi="Times New Roman"/>
                <w:sz w:val="20"/>
                <w:szCs w:val="20"/>
                <w:lang w:val="uk-UA"/>
              </w:rPr>
              <w:t xml:space="preserve">“Даним листом підтверджуємо, що у попередніх взаємовідносинах між Учасником </w:t>
            </w:r>
            <w:r w:rsidRPr="006E31AC">
              <w:rPr>
                <w:rFonts w:ascii="Times New Roman" w:eastAsia="Times New Roman" w:hAnsi="Times New Roman"/>
                <w:b/>
                <w:sz w:val="20"/>
                <w:szCs w:val="20"/>
                <w:lang w:val="uk-UA"/>
              </w:rPr>
              <w:t>(повна назва Учасника)</w:t>
            </w:r>
            <w:r w:rsidRPr="006E31AC">
              <w:rPr>
                <w:rFonts w:ascii="Times New Roman" w:eastAsia="Times New Roman" w:hAnsi="Times New Roman"/>
                <w:sz w:val="20"/>
                <w:szCs w:val="20"/>
                <w:lang w:val="uk-UA"/>
              </w:rPr>
              <w:t xml:space="preserve">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6E31AC" w:rsidRPr="006E31AC" w:rsidRDefault="006E31AC" w:rsidP="004817A5">
            <w:pPr>
              <w:spacing w:after="0" w:line="240" w:lineRule="auto"/>
              <w:ind w:right="141"/>
              <w:jc w:val="both"/>
              <w:rPr>
                <w:rFonts w:ascii="Times New Roman" w:eastAsia="Times New Roman" w:hAnsi="Times New Roman"/>
                <w:sz w:val="20"/>
                <w:szCs w:val="20"/>
                <w:lang w:val="uk-UA"/>
              </w:rPr>
            </w:pPr>
          </w:p>
        </w:tc>
      </w:tr>
      <w:tr w:rsidR="006E31AC" w:rsidRPr="006E31AC" w:rsidTr="00465020">
        <w:trPr>
          <w:cantSplit/>
          <w:trHeight w:val="4136"/>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1AC" w:rsidRPr="006E31AC" w:rsidRDefault="006E31AC" w:rsidP="004817A5">
            <w:pPr>
              <w:spacing w:before="240" w:after="0" w:line="240" w:lineRule="auto"/>
              <w:ind w:left="100" w:right="141"/>
              <w:rPr>
                <w:rFonts w:ascii="Times New Roman" w:eastAsia="Times New Roman" w:hAnsi="Times New Roman" w:cs="Times New Roman"/>
                <w:b/>
                <w:sz w:val="20"/>
                <w:szCs w:val="20"/>
                <w:lang w:val="uk-UA"/>
              </w:rPr>
            </w:pPr>
            <w:r w:rsidRPr="006E31AC">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Pr>
          <w:p w:rsidR="006E31AC" w:rsidRPr="006E31AC" w:rsidRDefault="006E31AC" w:rsidP="004817A5">
            <w:pPr>
              <w:spacing w:after="0" w:line="240" w:lineRule="auto"/>
              <w:ind w:right="141"/>
              <w:rPr>
                <w:rFonts w:ascii="Times New Roman" w:hAnsi="Times New Roman" w:cs="Times New Roman"/>
                <w:sz w:val="20"/>
                <w:szCs w:val="20"/>
                <w:lang w:val="uk-UA"/>
              </w:rPr>
            </w:pPr>
            <w:r w:rsidRPr="006E31AC">
              <w:rPr>
                <w:rFonts w:ascii="Times New Roman" w:hAnsi="Times New Roman" w:cs="Times New Roman"/>
                <w:sz w:val="20"/>
                <w:szCs w:val="20"/>
                <w:lang w:val="uk-UA"/>
              </w:rPr>
              <w:t>Розрахунок ціни тендерної пропозиції ( Договірної  ціни ) повинен відповідати  вимогам   Настанови з визначення вартості будівництва, яка  затверджена Наказом  Міністерства розвитку громад та територій  України  № 281 від 01.11.2021 « Про затвердження кошторисних норм України у будівництві».</w:t>
            </w:r>
          </w:p>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r w:rsidRPr="006E31AC">
              <w:rPr>
                <w:rFonts w:ascii="Times New Roman" w:hAnsi="Times New Roman" w:cs="Times New Roman"/>
                <w:sz w:val="20"/>
                <w:szCs w:val="20"/>
                <w:lang w:val="uk-UA"/>
              </w:rPr>
              <w:t>До розрахунку договірної ціни уасник надає локальні кошториси на будівельні роботи та інші необхідні розрахунки, які є підставою для формування договірної ціни.</w:t>
            </w:r>
          </w:p>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p>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Учасник при формуванні тендерної пропозиції ( договірної ціни) повинен орієнтуватися ( брати до уваги) дані кошторисної вартості  зведеного кошторисного розрахунку (  з гідно додатку 2.1 до ТД ).</w:t>
            </w:r>
          </w:p>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r w:rsidRPr="006E31AC">
              <w:rPr>
                <w:rFonts w:ascii="Times New Roman" w:eastAsia="Times New Roman" w:hAnsi="Times New Roman" w:cs="Times New Roman"/>
                <w:sz w:val="20"/>
                <w:szCs w:val="20"/>
                <w:lang w:val="uk-UA"/>
              </w:rPr>
              <w:t xml:space="preserve">  Особливу увагу при формуванні договірної ціни необхідно звернути до глави  9 (Кошти на відрядження працівників будівельних організацій  на об’єкт будівництва ) на  майбутнє понесення вказаних витрат( у разі їх наявності). Учасник у складі ТП повинен надати ймовірні розрахунки . </w:t>
            </w:r>
          </w:p>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p>
          <w:p w:rsidR="006E31AC" w:rsidRPr="006E31AC" w:rsidRDefault="006E31AC" w:rsidP="004817A5">
            <w:pPr>
              <w:spacing w:after="0" w:line="240" w:lineRule="auto"/>
              <w:ind w:right="141"/>
              <w:rPr>
                <w:rFonts w:ascii="Times New Roman" w:hAnsi="Times New Roman" w:cs="Times New Roman"/>
                <w:sz w:val="20"/>
                <w:szCs w:val="20"/>
                <w:lang w:val="uk-UA"/>
              </w:rPr>
            </w:pPr>
            <w:r w:rsidRPr="006E31AC">
              <w:rPr>
                <w:rFonts w:ascii="Times New Roman" w:hAnsi="Times New Roman" w:cs="Times New Roman"/>
                <w:sz w:val="20"/>
                <w:szCs w:val="20"/>
                <w:lang w:val="uk-UA"/>
              </w:rPr>
              <w:tab/>
            </w:r>
          </w:p>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p>
          <w:p w:rsidR="006E31AC" w:rsidRPr="006E31AC" w:rsidRDefault="006E31AC" w:rsidP="004817A5">
            <w:pPr>
              <w:spacing w:after="0" w:line="240" w:lineRule="auto"/>
              <w:ind w:right="141"/>
              <w:rPr>
                <w:rFonts w:ascii="Times New Roman" w:eastAsia="Times New Roman" w:hAnsi="Times New Roman" w:cs="Times New Roman"/>
                <w:sz w:val="20"/>
                <w:szCs w:val="20"/>
                <w:lang w:val="uk-UA"/>
              </w:rPr>
            </w:pPr>
          </w:p>
          <w:p w:rsidR="006E31AC" w:rsidRPr="006E31AC" w:rsidRDefault="006E31AC" w:rsidP="004817A5">
            <w:pPr>
              <w:spacing w:after="0" w:line="240" w:lineRule="auto"/>
              <w:ind w:right="141"/>
              <w:jc w:val="both"/>
              <w:rPr>
                <w:rFonts w:ascii="Times New Roman" w:eastAsia="Times New Roman" w:hAnsi="Times New Roman"/>
                <w:sz w:val="20"/>
                <w:szCs w:val="20"/>
                <w:lang w:val="uk-UA"/>
              </w:rPr>
            </w:pPr>
          </w:p>
        </w:tc>
      </w:tr>
    </w:tbl>
    <w:p w:rsidR="006E31AC" w:rsidRPr="006E31AC" w:rsidRDefault="006E31AC" w:rsidP="004817A5">
      <w:pPr>
        <w:spacing w:after="0" w:line="240" w:lineRule="auto"/>
        <w:ind w:right="141"/>
        <w:rPr>
          <w:rFonts w:ascii="Times New Roman" w:eastAsia="Times New Roman" w:hAnsi="Times New Roman" w:cs="Times New Roman"/>
          <w:sz w:val="24"/>
          <w:szCs w:val="24"/>
          <w:lang w:val="uk-UA"/>
        </w:rPr>
      </w:pPr>
    </w:p>
    <w:p w:rsidR="006E31AC" w:rsidRPr="006E31AC" w:rsidRDefault="006E31AC" w:rsidP="004817A5">
      <w:pPr>
        <w:ind w:right="141"/>
        <w:rPr>
          <w:lang w:val="uk-UA"/>
        </w:rPr>
      </w:pPr>
    </w:p>
    <w:sectPr w:rsidR="006E31AC" w:rsidRPr="006E31AC" w:rsidSect="006E31AC">
      <w:pgSz w:w="11906" w:h="16838"/>
      <w:pgMar w:top="284"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A5D"/>
    <w:multiLevelType w:val="multilevel"/>
    <w:tmpl w:val="DD56BE4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0051FC4"/>
    <w:multiLevelType w:val="multilevel"/>
    <w:tmpl w:val="6B96B1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AC"/>
    <w:rsid w:val="00171224"/>
    <w:rsid w:val="004817A5"/>
    <w:rsid w:val="006E31AC"/>
    <w:rsid w:val="00C125D1"/>
    <w:rsid w:val="00E505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A4A1"/>
  <w15:chartTrackingRefBased/>
  <w15:docId w15:val="{639B85F3-BAA7-4025-B7E8-2B26A3B6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31AC"/>
    <w:rPr>
      <w:rFonts w:ascii="Calibri" w:eastAsia="Calibri"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E31AC"/>
    <w:pPr>
      <w:ind w:left="720"/>
      <w:contextualSpacing/>
    </w:pPr>
  </w:style>
  <w:style w:type="paragraph" w:customStyle="1" w:styleId="21">
    <w:name w:val="Основной текст с отступом 21"/>
    <w:basedOn w:val="a"/>
    <w:rsid w:val="006E31AC"/>
    <w:pPr>
      <w:suppressAutoHyphens/>
      <w:spacing w:after="200" w:line="276" w:lineRule="auto"/>
      <w:ind w:left="360"/>
      <w:jc w:val="both"/>
    </w:pPr>
    <w:rPr>
      <w:lang w:val="uk-UA" w:eastAsia="ar-SA"/>
    </w:rPr>
  </w:style>
  <w:style w:type="paragraph" w:styleId="a4">
    <w:name w:val="Balloon Text"/>
    <w:basedOn w:val="a"/>
    <w:link w:val="a5"/>
    <w:uiPriority w:val="99"/>
    <w:semiHidden/>
    <w:unhideWhenUsed/>
    <w:rsid w:val="00171224"/>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71224"/>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952853">
      <w:bodyDiv w:val="1"/>
      <w:marLeft w:val="0"/>
      <w:marRight w:val="0"/>
      <w:marTop w:val="0"/>
      <w:marBottom w:val="0"/>
      <w:divBdr>
        <w:top w:val="none" w:sz="0" w:space="0" w:color="auto"/>
        <w:left w:val="none" w:sz="0" w:space="0" w:color="auto"/>
        <w:bottom w:val="none" w:sz="0" w:space="0" w:color="auto"/>
        <w:right w:val="none" w:sz="0" w:space="0" w:color="auto"/>
      </w:divBdr>
      <w:divsChild>
        <w:div w:id="1841770211">
          <w:marLeft w:val="0"/>
          <w:marRight w:val="0"/>
          <w:marTop w:val="0"/>
          <w:marBottom w:val="0"/>
          <w:divBdr>
            <w:top w:val="none" w:sz="0" w:space="0" w:color="auto"/>
            <w:left w:val="none" w:sz="0" w:space="0" w:color="auto"/>
            <w:bottom w:val="none" w:sz="0" w:space="0" w:color="auto"/>
            <w:right w:val="none" w:sz="0" w:space="0" w:color="auto"/>
          </w:divBdr>
        </w:div>
        <w:div w:id="1379428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8371</Words>
  <Characters>4772</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4</cp:revision>
  <cp:lastPrinted>2023-04-11T12:23:00Z</cp:lastPrinted>
  <dcterms:created xsi:type="dcterms:W3CDTF">2023-04-10T09:32:00Z</dcterms:created>
  <dcterms:modified xsi:type="dcterms:W3CDTF">2023-04-11T14:56:00Z</dcterms:modified>
</cp:coreProperties>
</file>