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F3EA" w14:textId="616E4F9B" w:rsidR="00126884" w:rsidRPr="00784A63" w:rsidRDefault="002728DC">
      <w:pPr>
        <w:jc w:val="right"/>
        <w:rPr>
          <w:lang w:val="ru-RU"/>
        </w:rPr>
      </w:pPr>
      <w:r w:rsidRPr="002728DC">
        <w:rPr>
          <w:rFonts w:ascii="Times New Roman" w:eastAsia="Times New Roman" w:hAnsi="Times New Roman" w:cs="Times New Roman"/>
          <w:sz w:val="24"/>
          <w:szCs w:val="24"/>
        </w:rPr>
        <w:t xml:space="preserve">Додаток </w:t>
      </w:r>
      <w:r w:rsidRPr="00784A63">
        <w:rPr>
          <w:rFonts w:ascii="Times New Roman" w:eastAsia="Times New Roman" w:hAnsi="Times New Roman" w:cs="Times New Roman"/>
          <w:sz w:val="24"/>
          <w:szCs w:val="24"/>
          <w:lang w:val="ru-RU"/>
        </w:rPr>
        <w:t>4</w:t>
      </w:r>
    </w:p>
    <w:p w14:paraId="2B8E5357" w14:textId="77777777" w:rsidR="00126884" w:rsidRDefault="002728DC">
      <w:pPr>
        <w:jc w:val="right"/>
      </w:pPr>
      <w:r w:rsidRPr="002728DC">
        <w:rPr>
          <w:rFonts w:ascii="Times New Roman" w:eastAsia="Times New Roman" w:hAnsi="Times New Roman" w:cs="Times New Roman"/>
          <w:sz w:val="24"/>
          <w:szCs w:val="24"/>
        </w:rPr>
        <w:t>до тендерної документації</w:t>
      </w:r>
    </w:p>
    <w:p w14:paraId="0E2009D9" w14:textId="77777777" w:rsidR="00126884" w:rsidRDefault="002728DC">
      <w:r>
        <w:rPr>
          <w:rFonts w:ascii="Times New Roman" w:eastAsia="Times New Roman" w:hAnsi="Times New Roman" w:cs="Times New Roman"/>
          <w:sz w:val="24"/>
          <w:szCs w:val="24"/>
        </w:rPr>
        <w:t xml:space="preserve"> </w:t>
      </w:r>
    </w:p>
    <w:p w14:paraId="7E268A1E" w14:textId="72CE4207" w:rsidR="00126884" w:rsidRDefault="002728DC">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Медико - технічні, якісні та кількісні вимоги до предмету закупівлі</w:t>
      </w:r>
    </w:p>
    <w:p w14:paraId="61FA944A" w14:textId="77777777" w:rsidR="009E6D9F" w:rsidRPr="009E6D9F" w:rsidRDefault="009E6D9F" w:rsidP="009E6D9F">
      <w:pPr>
        <w:spacing w:before="240"/>
        <w:jc w:val="center"/>
        <w:rPr>
          <w:rFonts w:ascii="Times New Roman" w:eastAsia="Times New Roman" w:hAnsi="Times New Roman" w:cs="Times New Roman"/>
          <w:b/>
          <w:bCs/>
          <w:sz w:val="24"/>
          <w:szCs w:val="24"/>
          <w:lang w:eastAsia="ru-RU"/>
        </w:rPr>
      </w:pPr>
      <w:r w:rsidRPr="009E6D9F">
        <w:rPr>
          <w:rFonts w:ascii="Times New Roman" w:eastAsia="Times New Roman" w:hAnsi="Times New Roman" w:cs="Times New Roman"/>
          <w:b/>
          <w:bCs/>
          <w:sz w:val="24"/>
          <w:szCs w:val="24"/>
          <w:lang w:eastAsia="ru-RU"/>
        </w:rPr>
        <w:t>код ДК 021:2015 - 33120000-7 Системи реєстрації медичної інформації та дослідне обладнання (тестсмужки – 3 найменування)</w:t>
      </w:r>
    </w:p>
    <w:p w14:paraId="6DC7ECBE" w14:textId="77777777" w:rsidR="000C7A21" w:rsidRDefault="000C7A21">
      <w:pPr>
        <w:jc w:val="center"/>
      </w:pPr>
    </w:p>
    <w:p w14:paraId="2C38E260"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1D51590A"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54D19824"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w:t>
      </w:r>
    </w:p>
    <w:p w14:paraId="07C6902C"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        3) Залишковий термін придатності товару на момент постачання  повинен</w:t>
      </w:r>
    </w:p>
    <w:p w14:paraId="67959B75"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складати не менше ніж 80% загального терміну їх зберігання (надати гарантійний лист від імені Учасника);                                                                                                                                                </w:t>
      </w:r>
    </w:p>
    <w:p w14:paraId="7179CF89" w14:textId="77777777" w:rsidR="000C7A21" w:rsidRPr="000C7A21" w:rsidRDefault="000C7A21" w:rsidP="000C7A21">
      <w:pPr>
        <w:jc w:val="both"/>
        <w:rPr>
          <w:rFonts w:ascii="Times New Roman" w:hAnsi="Times New Roman" w:cs="Times New Roman"/>
          <w:sz w:val="24"/>
          <w:szCs w:val="24"/>
        </w:rPr>
      </w:pPr>
      <w:r w:rsidRPr="000C7A21">
        <w:rPr>
          <w:rFonts w:ascii="Times New Roman" w:hAnsi="Times New Roman" w:cs="Times New Roman"/>
          <w:sz w:val="24"/>
          <w:szCs w:val="24"/>
        </w:rPr>
        <w:t xml:space="preserve">        4) Постачання  здійснюється транспортом та за рахунок Учасника (надати гарантійний лист від імені Учасника).</w:t>
      </w:r>
    </w:p>
    <w:p w14:paraId="278D9B42" w14:textId="77777777" w:rsidR="00126884" w:rsidRDefault="00126884"/>
    <w:p w14:paraId="07BED29C" w14:textId="77777777" w:rsidR="00E5253A" w:rsidRDefault="002728DC">
      <w:r>
        <w:rPr>
          <w:rFonts w:ascii="Times New Roman" w:eastAsia="Times New Roman" w:hAnsi="Times New Roman" w:cs="Times New Roman"/>
          <w:sz w:val="24"/>
          <w:szCs w:val="24"/>
        </w:rPr>
        <w:t xml:space="preserve"> </w:t>
      </w:r>
    </w:p>
    <w:tbl>
      <w:tblPr>
        <w:tblStyle w:val="10"/>
        <w:tblW w:w="10065" w:type="dxa"/>
        <w:tblInd w:w="-34" w:type="dxa"/>
        <w:tblLook w:val="04A0" w:firstRow="1" w:lastRow="0" w:firstColumn="1" w:lastColumn="0" w:noHBand="0" w:noVBand="1"/>
      </w:tblPr>
      <w:tblGrid>
        <w:gridCol w:w="2269"/>
        <w:gridCol w:w="1701"/>
        <w:gridCol w:w="1134"/>
        <w:gridCol w:w="4961"/>
      </w:tblGrid>
      <w:tr w:rsidR="00A838D7" w:rsidRPr="00E5253A" w14:paraId="0F5F696C" w14:textId="77777777" w:rsidTr="00A838D7">
        <w:trPr>
          <w:trHeight w:val="540"/>
        </w:trPr>
        <w:tc>
          <w:tcPr>
            <w:tcW w:w="2269" w:type="dxa"/>
            <w:tcBorders>
              <w:top w:val="single" w:sz="4" w:space="0" w:color="auto"/>
              <w:left w:val="single" w:sz="4" w:space="0" w:color="auto"/>
              <w:bottom w:val="single" w:sz="4" w:space="0" w:color="auto"/>
              <w:right w:val="single" w:sz="4" w:space="0" w:color="auto"/>
            </w:tcBorders>
          </w:tcPr>
          <w:p w14:paraId="26E6366C" w14:textId="77777777" w:rsidR="00A838D7" w:rsidRPr="00FF744E" w:rsidRDefault="00A838D7" w:rsidP="000C7A21">
            <w:pPr>
              <w:rPr>
                <w:rFonts w:ascii="Times New Roman" w:eastAsia="Times New Roman" w:hAnsi="Times New Roman"/>
                <w:b/>
                <w:bCs/>
                <w:sz w:val="20"/>
                <w:szCs w:val="20"/>
                <w:lang w:eastAsia="ru-UA"/>
              </w:rPr>
            </w:pPr>
          </w:p>
          <w:p w14:paraId="68C28EA5" w14:textId="77777777" w:rsidR="00A838D7" w:rsidRPr="00FF744E" w:rsidRDefault="00A838D7" w:rsidP="000C7A21">
            <w:pPr>
              <w:rPr>
                <w:rFonts w:ascii="Times New Roman" w:eastAsia="Times New Roman" w:hAnsi="Times New Roman"/>
                <w:b/>
                <w:bCs/>
                <w:sz w:val="20"/>
                <w:szCs w:val="20"/>
                <w:lang w:eastAsia="ru-UA"/>
              </w:rPr>
            </w:pPr>
          </w:p>
          <w:p w14:paraId="0AE73FBD" w14:textId="77777777" w:rsidR="00A838D7" w:rsidRPr="00FF744E" w:rsidRDefault="00A838D7" w:rsidP="000C7A21">
            <w:pPr>
              <w:rPr>
                <w:rFonts w:ascii="Times New Roman" w:eastAsia="Times New Roman" w:hAnsi="Times New Roman"/>
                <w:b/>
                <w:bCs/>
                <w:sz w:val="20"/>
                <w:szCs w:val="20"/>
                <w:lang w:eastAsia="ru-UA"/>
              </w:rPr>
            </w:pPr>
          </w:p>
          <w:p w14:paraId="07F870E7" w14:textId="6484E96F" w:rsidR="00A838D7" w:rsidRPr="00E5253A" w:rsidRDefault="00A838D7" w:rsidP="000C7A21">
            <w:pPr>
              <w:spacing w:line="252" w:lineRule="auto"/>
              <w:jc w:val="center"/>
              <w:rPr>
                <w:rFonts w:ascii="Times New Roman" w:hAnsi="Times New Roman"/>
                <w:sz w:val="20"/>
                <w:szCs w:val="20"/>
              </w:rPr>
            </w:pPr>
            <w:r w:rsidRPr="00FF744E">
              <w:rPr>
                <w:rFonts w:ascii="Times New Roman" w:eastAsia="Times New Roman" w:hAnsi="Times New Roman"/>
                <w:b/>
                <w:bCs/>
                <w:sz w:val="20"/>
                <w:szCs w:val="20"/>
                <w:lang w:eastAsia="ru-UA"/>
              </w:rPr>
              <w:t>№ з/п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FC34DE" w14:textId="77777777" w:rsidR="00A838D7" w:rsidRPr="00FF744E" w:rsidRDefault="00A838D7" w:rsidP="000C7A21">
            <w:pPr>
              <w:rPr>
                <w:rFonts w:ascii="Times New Roman" w:eastAsia="Times New Roman" w:hAnsi="Times New Roman"/>
                <w:b/>
                <w:bCs/>
                <w:sz w:val="20"/>
                <w:szCs w:val="20"/>
                <w:lang w:eastAsia="ru-UA"/>
              </w:rPr>
            </w:pPr>
          </w:p>
          <w:p w14:paraId="3B8517EB" w14:textId="77777777" w:rsidR="00A838D7" w:rsidRPr="00FF744E" w:rsidRDefault="00A838D7" w:rsidP="000C7A21">
            <w:pPr>
              <w:rPr>
                <w:rFonts w:ascii="Times New Roman" w:eastAsia="Times New Roman" w:hAnsi="Times New Roman"/>
                <w:b/>
                <w:bCs/>
                <w:sz w:val="20"/>
                <w:szCs w:val="20"/>
                <w:lang w:eastAsia="ru-UA"/>
              </w:rPr>
            </w:pPr>
          </w:p>
          <w:p w14:paraId="7BF36217" w14:textId="77777777" w:rsidR="00A838D7" w:rsidRPr="00FF744E" w:rsidRDefault="00A838D7" w:rsidP="000C7A21">
            <w:pPr>
              <w:rPr>
                <w:rFonts w:ascii="Times New Roman" w:eastAsia="Times New Roman" w:hAnsi="Times New Roman"/>
                <w:b/>
                <w:bCs/>
                <w:sz w:val="20"/>
                <w:szCs w:val="20"/>
                <w:lang w:eastAsia="ru-UA"/>
              </w:rPr>
            </w:pPr>
          </w:p>
          <w:p w14:paraId="610FF434" w14:textId="430716C0" w:rsidR="00A838D7" w:rsidRPr="00E5253A" w:rsidRDefault="00A838D7" w:rsidP="000C7A21">
            <w:pPr>
              <w:spacing w:line="252" w:lineRule="auto"/>
              <w:jc w:val="center"/>
              <w:rPr>
                <w:rFonts w:ascii="Times New Roman" w:hAnsi="Times New Roman"/>
                <w:sz w:val="20"/>
                <w:szCs w:val="20"/>
              </w:rPr>
            </w:pPr>
            <w:r w:rsidRPr="00FF744E">
              <w:rPr>
                <w:rFonts w:ascii="Times New Roman" w:eastAsia="Times New Roman" w:hAnsi="Times New Roman"/>
                <w:b/>
                <w:bCs/>
                <w:sz w:val="20"/>
                <w:szCs w:val="20"/>
                <w:lang w:eastAsia="ru-UA"/>
              </w:rPr>
              <w:t>Найменування або еквівалент</w:t>
            </w:r>
          </w:p>
        </w:tc>
        <w:tc>
          <w:tcPr>
            <w:tcW w:w="1134" w:type="dxa"/>
            <w:tcBorders>
              <w:top w:val="single" w:sz="4" w:space="0" w:color="auto"/>
              <w:left w:val="nil"/>
              <w:bottom w:val="single" w:sz="4" w:space="0" w:color="auto"/>
              <w:right w:val="single" w:sz="4" w:space="0" w:color="auto"/>
            </w:tcBorders>
          </w:tcPr>
          <w:p w14:paraId="763FA101" w14:textId="77777777" w:rsidR="00A838D7" w:rsidRDefault="00A838D7" w:rsidP="00A838D7">
            <w:pPr>
              <w:spacing w:after="160" w:line="252" w:lineRule="auto"/>
              <w:contextualSpacing/>
              <w:jc w:val="center"/>
              <w:rPr>
                <w:rFonts w:ascii="Times New Roman" w:eastAsia="Times New Roman" w:hAnsi="Times New Roman"/>
                <w:b/>
                <w:bCs/>
                <w:color w:val="000000"/>
                <w:sz w:val="20"/>
                <w:szCs w:val="20"/>
                <w:lang w:eastAsia="ru-UA"/>
              </w:rPr>
            </w:pPr>
          </w:p>
          <w:p w14:paraId="4F80101D" w14:textId="77777777" w:rsidR="00A838D7" w:rsidRDefault="00A838D7" w:rsidP="00A838D7">
            <w:pPr>
              <w:spacing w:after="160" w:line="252" w:lineRule="auto"/>
              <w:contextualSpacing/>
              <w:jc w:val="center"/>
              <w:rPr>
                <w:rFonts w:ascii="Times New Roman" w:eastAsia="Times New Roman" w:hAnsi="Times New Roman"/>
                <w:b/>
                <w:bCs/>
                <w:color w:val="000000"/>
                <w:sz w:val="20"/>
                <w:szCs w:val="20"/>
                <w:lang w:eastAsia="ru-UA"/>
              </w:rPr>
            </w:pPr>
          </w:p>
          <w:p w14:paraId="431E64D2" w14:textId="021089B8" w:rsidR="00A838D7" w:rsidRPr="00FF744E" w:rsidRDefault="00A838D7" w:rsidP="00A838D7">
            <w:pPr>
              <w:spacing w:after="160" w:line="252" w:lineRule="auto"/>
              <w:contextualSpacing/>
              <w:jc w:val="center"/>
              <w:rPr>
                <w:rFonts w:ascii="Times New Roman" w:eastAsia="Times New Roman" w:hAnsi="Times New Roman"/>
                <w:b/>
                <w:bCs/>
                <w:color w:val="000000"/>
                <w:sz w:val="20"/>
                <w:szCs w:val="20"/>
                <w:lang w:eastAsia="ru-UA"/>
              </w:rPr>
            </w:pPr>
            <w:r>
              <w:rPr>
                <w:rFonts w:ascii="Times New Roman" w:eastAsia="Times New Roman" w:hAnsi="Times New Roman"/>
                <w:b/>
                <w:bCs/>
                <w:color w:val="000000"/>
                <w:sz w:val="20"/>
                <w:szCs w:val="20"/>
                <w:lang w:eastAsia="ru-UA"/>
              </w:rPr>
              <w:t>Кількість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C186820" w14:textId="5F7FC110" w:rsidR="00A838D7" w:rsidRPr="00E5253A" w:rsidRDefault="00A838D7" w:rsidP="000C7A21">
            <w:pPr>
              <w:spacing w:after="160" w:line="252" w:lineRule="auto"/>
              <w:ind w:left="720"/>
              <w:contextualSpacing/>
              <w:rPr>
                <w:rFonts w:ascii="Times New Roman" w:hAnsi="Times New Roman"/>
                <w:sz w:val="20"/>
                <w:szCs w:val="20"/>
              </w:rPr>
            </w:pPr>
            <w:r w:rsidRPr="00FF744E">
              <w:rPr>
                <w:rFonts w:ascii="Times New Roman" w:eastAsia="Times New Roman" w:hAnsi="Times New Roman"/>
                <w:b/>
                <w:bCs/>
                <w:color w:val="000000"/>
                <w:sz w:val="20"/>
                <w:szCs w:val="20"/>
                <w:lang w:eastAsia="ru-UA"/>
              </w:rPr>
              <w:t>Медико-технічні вимоги</w:t>
            </w:r>
          </w:p>
        </w:tc>
      </w:tr>
      <w:tr w:rsidR="00A838D7" w:rsidRPr="00E5253A" w14:paraId="237DC02D" w14:textId="77777777" w:rsidTr="00A838D7">
        <w:trPr>
          <w:trHeight w:val="2395"/>
        </w:trPr>
        <w:tc>
          <w:tcPr>
            <w:tcW w:w="2269" w:type="dxa"/>
            <w:tcBorders>
              <w:top w:val="single" w:sz="4" w:space="0" w:color="auto"/>
              <w:left w:val="single" w:sz="4" w:space="0" w:color="auto"/>
              <w:bottom w:val="single" w:sz="4" w:space="0" w:color="auto"/>
              <w:right w:val="single" w:sz="4" w:space="0" w:color="auto"/>
            </w:tcBorders>
            <w:vAlign w:val="center"/>
            <w:hideMark/>
          </w:tcPr>
          <w:p w14:paraId="0099B1C3"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54514</w:t>
            </w:r>
          </w:p>
          <w:p w14:paraId="234537D2" w14:textId="77777777" w:rsidR="00A838D7" w:rsidRPr="00E5253A" w:rsidRDefault="00A838D7" w:rsidP="00E5253A">
            <w:pPr>
              <w:spacing w:line="252" w:lineRule="auto"/>
              <w:rPr>
                <w:rFonts w:ascii="Times New Roman" w:hAnsi="Times New Roman"/>
                <w:sz w:val="20"/>
                <w:szCs w:val="20"/>
              </w:rPr>
            </w:pPr>
            <w:r w:rsidRPr="00E5253A">
              <w:rPr>
                <w:rFonts w:ascii="Times New Roman" w:hAnsi="Times New Roman"/>
                <w:sz w:val="20"/>
                <w:szCs w:val="20"/>
              </w:rPr>
              <w:t xml:space="preserve">Численні </w:t>
            </w:r>
            <w:proofErr w:type="spellStart"/>
            <w:r w:rsidRPr="00E5253A">
              <w:rPr>
                <w:rFonts w:ascii="Times New Roman" w:hAnsi="Times New Roman"/>
                <w:sz w:val="20"/>
                <w:szCs w:val="20"/>
              </w:rPr>
              <w:t>аналіти</w:t>
            </w:r>
            <w:proofErr w:type="spellEnd"/>
            <w:r w:rsidRPr="00E5253A">
              <w:rPr>
                <w:rFonts w:ascii="Times New Roman" w:hAnsi="Times New Roman"/>
                <w:sz w:val="20"/>
                <w:szCs w:val="20"/>
              </w:rPr>
              <w:t xml:space="preserve"> сечі IVD, набір, колориметрична тест-смужка, експрес-аналіз</w:t>
            </w:r>
          </w:p>
        </w:tc>
        <w:tc>
          <w:tcPr>
            <w:tcW w:w="1701" w:type="dxa"/>
            <w:tcBorders>
              <w:top w:val="single" w:sz="4" w:space="0" w:color="auto"/>
              <w:left w:val="single" w:sz="4" w:space="0" w:color="auto"/>
              <w:bottom w:val="single" w:sz="4" w:space="0" w:color="auto"/>
              <w:right w:val="single" w:sz="4" w:space="0" w:color="auto"/>
            </w:tcBorders>
            <w:vAlign w:val="center"/>
          </w:tcPr>
          <w:p w14:paraId="317B2CB0"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 xml:space="preserve">Тест-смужки для сечового аналізатора </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 xml:space="preserve"> 300</w:t>
            </w:r>
          </w:p>
          <w:p w14:paraId="5D6E2029" w14:textId="77777777" w:rsidR="00A838D7" w:rsidRPr="00E5253A" w:rsidRDefault="00A838D7" w:rsidP="00E5253A">
            <w:pPr>
              <w:spacing w:line="252"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A6AD14" w14:textId="6FD14F8C" w:rsidR="00A838D7" w:rsidRPr="00E5253A" w:rsidRDefault="00A838D7" w:rsidP="00A838D7">
            <w:pPr>
              <w:spacing w:after="160" w:line="252" w:lineRule="auto"/>
              <w:contextualSpacing/>
              <w:rPr>
                <w:rFonts w:ascii="Times New Roman" w:hAnsi="Times New Roman"/>
                <w:sz w:val="20"/>
                <w:szCs w:val="20"/>
              </w:rPr>
            </w:pPr>
            <w:r>
              <w:rPr>
                <w:rFonts w:ascii="Times New Roman" w:hAnsi="Times New Roman"/>
                <w:sz w:val="20"/>
                <w:szCs w:val="20"/>
              </w:rPr>
              <w:t xml:space="preserve">80 </w:t>
            </w:r>
            <w:proofErr w:type="spellStart"/>
            <w:r>
              <w:rPr>
                <w:rFonts w:ascii="Times New Roman" w:hAnsi="Times New Roman"/>
                <w:sz w:val="20"/>
                <w:szCs w:val="20"/>
              </w:rPr>
              <w:t>уп</w:t>
            </w:r>
            <w:proofErr w:type="spellEnd"/>
            <w:r>
              <w:rPr>
                <w:rFonts w:ascii="Times New Roman" w:hAnsi="Times New Roman"/>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4D49A46" w14:textId="000E963F" w:rsidR="00A838D7" w:rsidRPr="00E5253A" w:rsidRDefault="00A838D7" w:rsidP="00E5253A">
            <w:pPr>
              <w:numPr>
                <w:ilvl w:val="0"/>
                <w:numId w:val="1"/>
              </w:numPr>
              <w:spacing w:after="160" w:line="252" w:lineRule="auto"/>
              <w:contextualSpacing/>
              <w:rPr>
                <w:rFonts w:ascii="Times New Roman" w:hAnsi="Times New Roman"/>
                <w:sz w:val="20"/>
                <w:szCs w:val="20"/>
              </w:rPr>
            </w:pPr>
            <w:r w:rsidRPr="00E5253A">
              <w:rPr>
                <w:rFonts w:ascii="Times New Roman" w:hAnsi="Times New Roman"/>
                <w:sz w:val="20"/>
                <w:szCs w:val="20"/>
              </w:rPr>
              <w:t xml:space="preserve">Повинні бути придатними для роботи на сечових аналізаторах </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 xml:space="preserve"> та </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 xml:space="preserve"> 300, а також для візуальної оцінки.</w:t>
            </w:r>
          </w:p>
          <w:p w14:paraId="4B2F5BA0" w14:textId="77777777" w:rsidR="00A838D7" w:rsidRPr="00E5253A" w:rsidRDefault="00A838D7" w:rsidP="00E5253A">
            <w:pPr>
              <w:numPr>
                <w:ilvl w:val="0"/>
                <w:numId w:val="1"/>
              </w:numPr>
              <w:spacing w:after="160" w:line="252" w:lineRule="auto"/>
              <w:contextualSpacing/>
              <w:rPr>
                <w:rFonts w:ascii="Times New Roman" w:hAnsi="Times New Roman"/>
                <w:sz w:val="20"/>
                <w:szCs w:val="20"/>
              </w:rPr>
            </w:pPr>
            <w:r w:rsidRPr="00E5253A">
              <w:rPr>
                <w:rFonts w:ascii="Times New Roman" w:hAnsi="Times New Roman"/>
                <w:sz w:val="20"/>
                <w:szCs w:val="20"/>
              </w:rPr>
              <w:t xml:space="preserve">Вимірювальні параметри: </w:t>
            </w:r>
            <w:proofErr w:type="spellStart"/>
            <w:r w:rsidRPr="00E5253A">
              <w:rPr>
                <w:rFonts w:ascii="Times New Roman" w:hAnsi="Times New Roman"/>
                <w:sz w:val="20"/>
                <w:szCs w:val="20"/>
              </w:rPr>
              <w:t>уробіліноген</w:t>
            </w:r>
            <w:proofErr w:type="spellEnd"/>
            <w:r w:rsidRPr="00E5253A">
              <w:rPr>
                <w:rFonts w:ascii="Times New Roman" w:hAnsi="Times New Roman"/>
                <w:sz w:val="20"/>
                <w:szCs w:val="20"/>
              </w:rPr>
              <w:t xml:space="preserve">, білірубін, кетони (ацетооцтова кислота), кров, білок, нітрити, лейкоцити, глюкоза, аскорбінова кислота, питома вага, </w:t>
            </w:r>
            <w:proofErr w:type="spellStart"/>
            <w:r w:rsidRPr="00E5253A">
              <w:rPr>
                <w:rFonts w:ascii="Times New Roman" w:hAnsi="Times New Roman"/>
                <w:sz w:val="20"/>
                <w:szCs w:val="20"/>
              </w:rPr>
              <w:t>рН</w:t>
            </w:r>
            <w:proofErr w:type="spellEnd"/>
            <w:r w:rsidRPr="00E5253A">
              <w:rPr>
                <w:rFonts w:ascii="Times New Roman" w:hAnsi="Times New Roman"/>
                <w:sz w:val="20"/>
                <w:szCs w:val="20"/>
              </w:rPr>
              <w:t>.</w:t>
            </w:r>
          </w:p>
          <w:p w14:paraId="72DAEE0D" w14:textId="77777777" w:rsidR="00A838D7" w:rsidRPr="00E5253A" w:rsidRDefault="00A838D7" w:rsidP="00E5253A">
            <w:pPr>
              <w:numPr>
                <w:ilvl w:val="0"/>
                <w:numId w:val="1"/>
              </w:numPr>
              <w:spacing w:after="160" w:line="252" w:lineRule="auto"/>
              <w:contextualSpacing/>
              <w:rPr>
                <w:rFonts w:ascii="Times New Roman" w:hAnsi="Times New Roman"/>
                <w:sz w:val="20"/>
                <w:szCs w:val="20"/>
              </w:rPr>
            </w:pPr>
            <w:r w:rsidRPr="00E5253A">
              <w:rPr>
                <w:rFonts w:ascii="Times New Roman" w:hAnsi="Times New Roman"/>
                <w:sz w:val="20"/>
                <w:szCs w:val="20"/>
              </w:rPr>
              <w:t>Можливість проведення процедури контролю якості з використанням адаптованого контрольного матеріалу виробника.</w:t>
            </w:r>
          </w:p>
          <w:p w14:paraId="53EB5C43" w14:textId="77777777" w:rsidR="00A838D7" w:rsidRPr="00E5253A" w:rsidRDefault="00A838D7" w:rsidP="00E5253A">
            <w:pPr>
              <w:numPr>
                <w:ilvl w:val="0"/>
                <w:numId w:val="1"/>
              </w:numPr>
              <w:spacing w:after="160" w:line="252" w:lineRule="auto"/>
              <w:contextualSpacing/>
              <w:rPr>
                <w:rFonts w:ascii="Times New Roman" w:hAnsi="Times New Roman"/>
                <w:sz w:val="20"/>
                <w:szCs w:val="20"/>
              </w:rPr>
            </w:pPr>
            <w:r w:rsidRPr="00E5253A">
              <w:rPr>
                <w:rFonts w:ascii="Times New Roman" w:hAnsi="Times New Roman"/>
                <w:sz w:val="20"/>
                <w:szCs w:val="20"/>
              </w:rPr>
              <w:t>Температура зберігання: 2-30°C.</w:t>
            </w:r>
          </w:p>
          <w:p w14:paraId="073F53C7" w14:textId="77777777" w:rsidR="00A838D7" w:rsidRPr="00E5253A" w:rsidRDefault="00A838D7" w:rsidP="00E5253A">
            <w:pPr>
              <w:numPr>
                <w:ilvl w:val="0"/>
                <w:numId w:val="1"/>
              </w:numPr>
              <w:spacing w:after="160" w:line="252" w:lineRule="auto"/>
              <w:contextualSpacing/>
              <w:rPr>
                <w:rFonts w:ascii="Times New Roman" w:hAnsi="Times New Roman"/>
                <w:sz w:val="20"/>
                <w:szCs w:val="20"/>
              </w:rPr>
            </w:pPr>
            <w:r w:rsidRPr="00E5253A">
              <w:rPr>
                <w:rFonts w:ascii="Times New Roman" w:hAnsi="Times New Roman"/>
                <w:sz w:val="20"/>
                <w:szCs w:val="20"/>
              </w:rPr>
              <w:t>Стабільність після відкриття: не менше 6 місяців.</w:t>
            </w:r>
          </w:p>
        </w:tc>
      </w:tr>
      <w:tr w:rsidR="00A838D7" w:rsidRPr="00E5253A" w14:paraId="577113FF" w14:textId="77777777" w:rsidTr="00A838D7">
        <w:trPr>
          <w:trHeight w:val="2395"/>
        </w:trPr>
        <w:tc>
          <w:tcPr>
            <w:tcW w:w="2269" w:type="dxa"/>
            <w:tcBorders>
              <w:top w:val="single" w:sz="4" w:space="0" w:color="auto"/>
              <w:left w:val="single" w:sz="4" w:space="0" w:color="auto"/>
              <w:bottom w:val="single" w:sz="4" w:space="0" w:color="auto"/>
              <w:right w:val="single" w:sz="4" w:space="0" w:color="auto"/>
            </w:tcBorders>
            <w:vAlign w:val="center"/>
            <w:hideMark/>
          </w:tcPr>
          <w:p w14:paraId="2F2FA7F7"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lastRenderedPageBreak/>
              <w:t>54514</w:t>
            </w:r>
          </w:p>
          <w:p w14:paraId="524B8319"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 xml:space="preserve">Численні </w:t>
            </w:r>
            <w:proofErr w:type="spellStart"/>
            <w:r w:rsidRPr="00E5253A">
              <w:rPr>
                <w:rFonts w:ascii="Times New Roman" w:hAnsi="Times New Roman"/>
                <w:sz w:val="20"/>
                <w:szCs w:val="20"/>
              </w:rPr>
              <w:t>аналіти</w:t>
            </w:r>
            <w:proofErr w:type="spellEnd"/>
            <w:r w:rsidRPr="00E5253A">
              <w:rPr>
                <w:rFonts w:ascii="Times New Roman" w:hAnsi="Times New Roman"/>
                <w:sz w:val="20"/>
                <w:szCs w:val="20"/>
              </w:rPr>
              <w:t xml:space="preserve"> сечі IVD</w:t>
            </w:r>
          </w:p>
          <w:p w14:paraId="35F14427"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 xml:space="preserve">(діагностика </w:t>
            </w:r>
            <w:proofErr w:type="spellStart"/>
            <w:r w:rsidRPr="00E5253A">
              <w:rPr>
                <w:rFonts w:ascii="Times New Roman" w:hAnsi="Times New Roman"/>
                <w:sz w:val="20"/>
                <w:szCs w:val="20"/>
              </w:rPr>
              <w:t>in</w:t>
            </w:r>
            <w:proofErr w:type="spellEnd"/>
            <w:r w:rsidRPr="00E5253A">
              <w:rPr>
                <w:rFonts w:ascii="Times New Roman" w:hAnsi="Times New Roman"/>
                <w:sz w:val="20"/>
                <w:szCs w:val="20"/>
              </w:rPr>
              <w:t xml:space="preserve"> </w:t>
            </w:r>
            <w:proofErr w:type="spellStart"/>
            <w:r w:rsidRPr="00E5253A">
              <w:rPr>
                <w:rFonts w:ascii="Times New Roman" w:hAnsi="Times New Roman"/>
                <w:sz w:val="20"/>
                <w:szCs w:val="20"/>
              </w:rPr>
              <w:t>vitro</w:t>
            </w:r>
            <w:proofErr w:type="spellEnd"/>
            <w:r w:rsidRPr="00E5253A">
              <w:rPr>
                <w:rFonts w:ascii="Times New Roman" w:hAnsi="Times New Roman"/>
                <w:sz w:val="20"/>
                <w:szCs w:val="20"/>
              </w:rPr>
              <w:t xml:space="preserve"> ),</w:t>
            </w:r>
          </w:p>
          <w:p w14:paraId="03D05F7E"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набір, колориметрична</w:t>
            </w:r>
          </w:p>
          <w:p w14:paraId="6BEC17A6"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тест-смужка, експрес-</w:t>
            </w:r>
          </w:p>
          <w:p w14:paraId="5B5421F5"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аналіз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A78826" w14:textId="77777777" w:rsidR="00A838D7" w:rsidRPr="00E5253A" w:rsidRDefault="00A838D7" w:rsidP="00E5253A">
            <w:pPr>
              <w:spacing w:line="252" w:lineRule="auto"/>
              <w:jc w:val="center"/>
              <w:rPr>
                <w:rFonts w:ascii="Times New Roman" w:hAnsi="Times New Roman"/>
                <w:sz w:val="20"/>
                <w:szCs w:val="20"/>
              </w:rPr>
            </w:pPr>
            <w:proofErr w:type="spellStart"/>
            <w:r w:rsidRPr="00E5253A">
              <w:rPr>
                <w:rFonts w:ascii="Times New Roman" w:hAnsi="Times New Roman"/>
                <w:sz w:val="20"/>
                <w:szCs w:val="20"/>
              </w:rPr>
              <w:t>Термопапір</w:t>
            </w:r>
            <w:proofErr w:type="spellEnd"/>
            <w:r w:rsidRPr="00E5253A">
              <w:rPr>
                <w:rFonts w:ascii="Times New Roman" w:hAnsi="Times New Roman"/>
                <w:sz w:val="20"/>
                <w:szCs w:val="20"/>
              </w:rPr>
              <w:t xml:space="preserve"> для аналізатора </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 xml:space="preserve"> 300</w:t>
            </w:r>
          </w:p>
        </w:tc>
        <w:tc>
          <w:tcPr>
            <w:tcW w:w="1134" w:type="dxa"/>
            <w:tcBorders>
              <w:top w:val="single" w:sz="4" w:space="0" w:color="auto"/>
              <w:left w:val="single" w:sz="4" w:space="0" w:color="auto"/>
              <w:bottom w:val="single" w:sz="4" w:space="0" w:color="auto"/>
              <w:right w:val="single" w:sz="4" w:space="0" w:color="auto"/>
            </w:tcBorders>
          </w:tcPr>
          <w:p w14:paraId="0640E4E6" w14:textId="1C0A8359" w:rsidR="00A838D7" w:rsidRPr="00E5253A" w:rsidRDefault="00A838D7" w:rsidP="00A838D7">
            <w:pPr>
              <w:spacing w:after="160" w:line="252" w:lineRule="auto"/>
              <w:contextualSpacing/>
              <w:rPr>
                <w:rFonts w:ascii="Times New Roman" w:hAnsi="Times New Roman"/>
                <w:sz w:val="20"/>
                <w:szCs w:val="20"/>
              </w:rPr>
            </w:pPr>
            <w:r>
              <w:rPr>
                <w:rFonts w:ascii="Times New Roman" w:hAnsi="Times New Roman"/>
                <w:sz w:val="20"/>
                <w:szCs w:val="20"/>
              </w:rPr>
              <w:t xml:space="preserve">10 </w:t>
            </w:r>
            <w:proofErr w:type="spellStart"/>
            <w:r>
              <w:rPr>
                <w:rFonts w:ascii="Times New Roman" w:hAnsi="Times New Roman"/>
                <w:sz w:val="20"/>
                <w:szCs w:val="20"/>
              </w:rPr>
              <w:t>шт</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471EF2F8" w14:textId="774AA8F6" w:rsidR="00A838D7" w:rsidRPr="00E5253A" w:rsidRDefault="00A838D7" w:rsidP="00E5253A">
            <w:pPr>
              <w:numPr>
                <w:ilvl w:val="0"/>
                <w:numId w:val="2"/>
              </w:numPr>
              <w:spacing w:after="160" w:line="252" w:lineRule="auto"/>
              <w:contextualSpacing/>
              <w:rPr>
                <w:rFonts w:ascii="Times New Roman" w:hAnsi="Times New Roman"/>
                <w:sz w:val="20"/>
                <w:szCs w:val="20"/>
              </w:rPr>
            </w:pPr>
            <w:r w:rsidRPr="00E5253A">
              <w:rPr>
                <w:rFonts w:ascii="Times New Roman" w:hAnsi="Times New Roman"/>
                <w:sz w:val="20"/>
                <w:szCs w:val="20"/>
              </w:rPr>
              <w:t xml:space="preserve">Повинні забезпечувати калібрування аналізатора сечі </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 xml:space="preserve"> 300.</w:t>
            </w:r>
          </w:p>
          <w:p w14:paraId="095BF3C8" w14:textId="77777777" w:rsidR="00A838D7" w:rsidRPr="00E5253A" w:rsidRDefault="00A838D7" w:rsidP="00E5253A">
            <w:pPr>
              <w:numPr>
                <w:ilvl w:val="0"/>
                <w:numId w:val="2"/>
              </w:numPr>
              <w:spacing w:after="160" w:line="252" w:lineRule="auto"/>
              <w:contextualSpacing/>
              <w:rPr>
                <w:rFonts w:ascii="Times New Roman" w:hAnsi="Times New Roman"/>
                <w:sz w:val="20"/>
                <w:szCs w:val="20"/>
              </w:rPr>
            </w:pPr>
            <w:r w:rsidRPr="00E5253A">
              <w:rPr>
                <w:rFonts w:ascii="Times New Roman" w:hAnsi="Times New Roman"/>
                <w:sz w:val="20"/>
                <w:szCs w:val="20"/>
              </w:rPr>
              <w:t>Тест-смужка представлена пластмасовою білою стрічкою з визначеними та постійними характеристиками відбивання.</w:t>
            </w:r>
          </w:p>
          <w:p w14:paraId="27A3F169" w14:textId="77777777" w:rsidR="00A838D7" w:rsidRPr="00E5253A" w:rsidRDefault="00A838D7" w:rsidP="00E5253A">
            <w:pPr>
              <w:rPr>
                <w:rFonts w:ascii="Times New Roman" w:hAnsi="Times New Roman"/>
                <w:sz w:val="20"/>
                <w:szCs w:val="20"/>
              </w:rPr>
            </w:pPr>
            <w:r w:rsidRPr="00E5253A">
              <w:rPr>
                <w:rFonts w:ascii="Times New Roman" w:hAnsi="Times New Roman"/>
                <w:sz w:val="20"/>
                <w:szCs w:val="20"/>
              </w:rPr>
              <w:t xml:space="preserve">              Калібрування повинне проводиться перед першим                     користуванням та кожні 4 тижні.</w:t>
            </w:r>
          </w:p>
        </w:tc>
      </w:tr>
      <w:tr w:rsidR="00A838D7" w:rsidRPr="00E5253A" w14:paraId="5BDD1988" w14:textId="77777777" w:rsidTr="00A838D7">
        <w:trPr>
          <w:trHeight w:val="1692"/>
        </w:trPr>
        <w:tc>
          <w:tcPr>
            <w:tcW w:w="2269" w:type="dxa"/>
            <w:tcBorders>
              <w:top w:val="single" w:sz="4" w:space="0" w:color="auto"/>
              <w:left w:val="single" w:sz="4" w:space="0" w:color="auto"/>
              <w:bottom w:val="single" w:sz="4" w:space="0" w:color="auto"/>
              <w:right w:val="single" w:sz="4" w:space="0" w:color="auto"/>
            </w:tcBorders>
            <w:vAlign w:val="center"/>
            <w:hideMark/>
          </w:tcPr>
          <w:p w14:paraId="00CD21F9" w14:textId="77777777" w:rsidR="00A838D7" w:rsidRPr="00E5253A" w:rsidRDefault="00A838D7" w:rsidP="00E5253A">
            <w:pPr>
              <w:spacing w:line="252" w:lineRule="auto"/>
              <w:jc w:val="center"/>
              <w:rPr>
                <w:rFonts w:ascii="Times New Roman" w:hAnsi="Times New Roman"/>
                <w:sz w:val="20"/>
                <w:szCs w:val="20"/>
              </w:rPr>
            </w:pPr>
            <w:r w:rsidRPr="00E5253A">
              <w:rPr>
                <w:rFonts w:ascii="Times New Roman" w:hAnsi="Times New Roman"/>
                <w:sz w:val="20"/>
                <w:szCs w:val="20"/>
              </w:rPr>
              <w:t>54514</w:t>
            </w:r>
          </w:p>
          <w:p w14:paraId="589D00A2" w14:textId="77777777" w:rsidR="00A838D7" w:rsidRPr="00E5253A" w:rsidRDefault="00A838D7" w:rsidP="00E5253A">
            <w:pPr>
              <w:spacing w:line="252" w:lineRule="auto"/>
              <w:rPr>
                <w:rFonts w:ascii="Times New Roman" w:hAnsi="Times New Roman"/>
                <w:sz w:val="20"/>
                <w:szCs w:val="20"/>
              </w:rPr>
            </w:pPr>
            <w:r w:rsidRPr="00E5253A">
              <w:rPr>
                <w:rFonts w:ascii="Times New Roman" w:hAnsi="Times New Roman"/>
                <w:sz w:val="20"/>
                <w:szCs w:val="20"/>
              </w:rPr>
              <w:t xml:space="preserve">Численні </w:t>
            </w:r>
            <w:proofErr w:type="spellStart"/>
            <w:r w:rsidRPr="00E5253A">
              <w:rPr>
                <w:rFonts w:ascii="Times New Roman" w:hAnsi="Times New Roman"/>
                <w:sz w:val="20"/>
                <w:szCs w:val="20"/>
              </w:rPr>
              <w:t>аналіти</w:t>
            </w:r>
            <w:proofErr w:type="spellEnd"/>
            <w:r w:rsidRPr="00E5253A">
              <w:rPr>
                <w:rFonts w:ascii="Times New Roman" w:hAnsi="Times New Roman"/>
                <w:sz w:val="20"/>
                <w:szCs w:val="20"/>
              </w:rPr>
              <w:t xml:space="preserve"> сечі IVD, набір, колориметрична тест-смужка, експрес-аналіз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2E2304" w14:textId="77777777" w:rsidR="00A838D7" w:rsidRPr="00E5253A" w:rsidRDefault="00A838D7" w:rsidP="00E5253A">
            <w:pPr>
              <w:spacing w:line="252" w:lineRule="auto"/>
              <w:rPr>
                <w:rFonts w:ascii="Times New Roman" w:hAnsi="Times New Roman"/>
                <w:sz w:val="20"/>
                <w:szCs w:val="20"/>
              </w:rPr>
            </w:pPr>
            <w:r w:rsidRPr="00E5253A">
              <w:rPr>
                <w:rFonts w:ascii="Times New Roman" w:hAnsi="Times New Roman"/>
                <w:sz w:val="20"/>
                <w:szCs w:val="20"/>
              </w:rPr>
              <w:t>Калібрувальні смужки URI-TEX 300</w:t>
            </w:r>
          </w:p>
        </w:tc>
        <w:tc>
          <w:tcPr>
            <w:tcW w:w="1134" w:type="dxa"/>
            <w:tcBorders>
              <w:top w:val="single" w:sz="4" w:space="0" w:color="auto"/>
              <w:left w:val="single" w:sz="4" w:space="0" w:color="auto"/>
              <w:bottom w:val="single" w:sz="4" w:space="0" w:color="auto"/>
              <w:right w:val="single" w:sz="4" w:space="0" w:color="auto"/>
            </w:tcBorders>
          </w:tcPr>
          <w:p w14:paraId="69BF9D3B" w14:textId="2BEC6CC8" w:rsidR="00A838D7" w:rsidRPr="00E5253A" w:rsidRDefault="00A838D7" w:rsidP="00A838D7">
            <w:pPr>
              <w:spacing w:after="160" w:line="252" w:lineRule="auto"/>
              <w:contextualSpacing/>
              <w:rPr>
                <w:rFonts w:ascii="Times New Roman" w:hAnsi="Times New Roman"/>
                <w:sz w:val="20"/>
                <w:szCs w:val="20"/>
              </w:rPr>
            </w:pPr>
            <w:r>
              <w:rPr>
                <w:rFonts w:ascii="Times New Roman" w:hAnsi="Times New Roman"/>
                <w:sz w:val="20"/>
                <w:szCs w:val="20"/>
              </w:rPr>
              <w:t>25 смужок (1 пак)</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7021F6D" w14:textId="029A0507" w:rsidR="00A838D7" w:rsidRPr="00E5253A" w:rsidRDefault="00A838D7" w:rsidP="00E5253A">
            <w:pPr>
              <w:numPr>
                <w:ilvl w:val="0"/>
                <w:numId w:val="3"/>
              </w:numPr>
              <w:spacing w:after="160" w:line="252" w:lineRule="auto"/>
              <w:contextualSpacing/>
              <w:rPr>
                <w:rFonts w:ascii="Times New Roman" w:hAnsi="Times New Roman"/>
                <w:sz w:val="20"/>
                <w:szCs w:val="20"/>
              </w:rPr>
            </w:pPr>
            <w:r w:rsidRPr="00E5253A">
              <w:rPr>
                <w:rFonts w:ascii="Times New Roman" w:hAnsi="Times New Roman"/>
                <w:sz w:val="20"/>
                <w:szCs w:val="20"/>
              </w:rPr>
              <w:t xml:space="preserve">Повинні забезпечувати калібрування аналізатора сечі </w:t>
            </w:r>
            <w:proofErr w:type="spellStart"/>
            <w:r w:rsidRPr="00E5253A">
              <w:rPr>
                <w:rFonts w:ascii="Times New Roman" w:hAnsi="Times New Roman"/>
                <w:sz w:val="20"/>
                <w:szCs w:val="20"/>
              </w:rPr>
              <w:t>Uri-Tex</w:t>
            </w:r>
            <w:proofErr w:type="spellEnd"/>
            <w:r w:rsidRPr="00E5253A">
              <w:rPr>
                <w:rFonts w:ascii="Times New Roman" w:hAnsi="Times New Roman"/>
                <w:sz w:val="20"/>
                <w:szCs w:val="20"/>
              </w:rPr>
              <w:t xml:space="preserve"> 300.</w:t>
            </w:r>
          </w:p>
          <w:p w14:paraId="277C83AC" w14:textId="77777777" w:rsidR="00A838D7" w:rsidRPr="00E5253A" w:rsidRDefault="00A838D7" w:rsidP="00E5253A">
            <w:pPr>
              <w:numPr>
                <w:ilvl w:val="0"/>
                <w:numId w:val="3"/>
              </w:numPr>
              <w:spacing w:after="160" w:line="252" w:lineRule="auto"/>
              <w:contextualSpacing/>
              <w:rPr>
                <w:rFonts w:ascii="Times New Roman" w:hAnsi="Times New Roman"/>
                <w:sz w:val="20"/>
                <w:szCs w:val="20"/>
              </w:rPr>
            </w:pPr>
            <w:r w:rsidRPr="00E5253A">
              <w:rPr>
                <w:rFonts w:ascii="Times New Roman" w:hAnsi="Times New Roman"/>
                <w:sz w:val="20"/>
                <w:szCs w:val="20"/>
              </w:rPr>
              <w:t>Тест-смужка представлена пластмасовою білою стрічкою з визначеними та постійними характеристиками відбивання.</w:t>
            </w:r>
          </w:p>
          <w:p w14:paraId="6ED426B0" w14:textId="77777777" w:rsidR="00A838D7" w:rsidRPr="00E5253A" w:rsidRDefault="00A838D7" w:rsidP="00E5253A">
            <w:pPr>
              <w:numPr>
                <w:ilvl w:val="0"/>
                <w:numId w:val="3"/>
              </w:numPr>
              <w:spacing w:after="160" w:line="252" w:lineRule="auto"/>
              <w:contextualSpacing/>
              <w:rPr>
                <w:rFonts w:ascii="Times New Roman" w:hAnsi="Times New Roman"/>
                <w:sz w:val="20"/>
                <w:szCs w:val="20"/>
              </w:rPr>
            </w:pPr>
            <w:r w:rsidRPr="00E5253A">
              <w:rPr>
                <w:rFonts w:ascii="Times New Roman" w:hAnsi="Times New Roman"/>
                <w:sz w:val="20"/>
                <w:szCs w:val="20"/>
              </w:rPr>
              <w:t>3. Калібрування повинне проводиться перед першим користуванням та кожні 4 тижні.</w:t>
            </w:r>
          </w:p>
        </w:tc>
      </w:tr>
    </w:tbl>
    <w:p w14:paraId="6C5C5FAA" w14:textId="16F5813A" w:rsidR="000C7A21" w:rsidRDefault="000C7A21" w:rsidP="000C7A21">
      <w:pPr>
        <w:tabs>
          <w:tab w:val="left" w:pos="1665"/>
        </w:tabs>
        <w:ind w:firstLine="6"/>
        <w:contextualSpacing/>
        <w:jc w:val="both"/>
        <w:rPr>
          <w:rFonts w:ascii="Times New Roman" w:eastAsia="Calibri" w:hAnsi="Times New Roman" w:cs="Times New Roman"/>
          <w:noProof/>
          <w:sz w:val="24"/>
          <w:szCs w:val="24"/>
        </w:rPr>
      </w:pPr>
    </w:p>
    <w:p w14:paraId="636B4BE2" w14:textId="77777777" w:rsidR="00A838D7" w:rsidRDefault="00A838D7" w:rsidP="000C7A21">
      <w:pPr>
        <w:tabs>
          <w:tab w:val="left" w:pos="1665"/>
        </w:tabs>
        <w:ind w:firstLine="6"/>
        <w:contextualSpacing/>
        <w:jc w:val="both"/>
        <w:rPr>
          <w:rFonts w:ascii="Times New Roman" w:eastAsia="Calibri" w:hAnsi="Times New Roman" w:cs="Times New Roman"/>
          <w:noProof/>
          <w:sz w:val="24"/>
          <w:szCs w:val="24"/>
        </w:rPr>
      </w:pPr>
    </w:p>
    <w:p w14:paraId="3A5A1D98" w14:textId="5A4A383D" w:rsidR="000C7A21" w:rsidRPr="000C7A21" w:rsidRDefault="000C7A21" w:rsidP="000C7A21">
      <w:pPr>
        <w:tabs>
          <w:tab w:val="left" w:pos="1665"/>
        </w:tabs>
        <w:ind w:firstLine="6"/>
        <w:contextualSpacing/>
        <w:jc w:val="both"/>
        <w:rPr>
          <w:rFonts w:ascii="Times New Roman" w:eastAsia="Calibri" w:hAnsi="Times New Roman" w:cs="Times New Roman"/>
          <w:i/>
          <w:noProof/>
          <w:sz w:val="20"/>
          <w:szCs w:val="24"/>
        </w:rPr>
      </w:pPr>
      <w:r w:rsidRPr="000C7A21">
        <w:rPr>
          <w:rFonts w:ascii="Times New Roman" w:eastAsia="Calibri" w:hAnsi="Times New Roman" w:cs="Times New Roman"/>
          <w:noProof/>
          <w:sz w:val="24"/>
          <w:szCs w:val="24"/>
        </w:rPr>
        <w:t>*</w:t>
      </w:r>
      <w:r w:rsidRPr="000C7A21">
        <w:rPr>
          <w:rFonts w:ascii="Times New Roman" w:eastAsia="Calibri" w:hAnsi="Times New Roman" w:cs="Times New Roman"/>
          <w:i/>
          <w:noProof/>
          <w:sz w:val="20"/>
          <w:szCs w:val="24"/>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17C85327" w14:textId="08A0468A" w:rsidR="00126884" w:rsidRPr="000C7A21" w:rsidRDefault="00126884"/>
    <w:sectPr w:rsidR="00126884" w:rsidRPr="000C7A2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FD4"/>
    <w:multiLevelType w:val="hybridMultilevel"/>
    <w:tmpl w:val="4000B2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78B2FB2"/>
    <w:multiLevelType w:val="hybridMultilevel"/>
    <w:tmpl w:val="0728D752"/>
    <w:lvl w:ilvl="0" w:tplc="265ABAEC">
      <w:start w:val="1"/>
      <w:numFmt w:val="decimal"/>
      <w:lvlText w:val="%1."/>
      <w:lvlJc w:val="left"/>
      <w:pPr>
        <w:ind w:left="720" w:hanging="360"/>
      </w:pPr>
    </w:lvl>
    <w:lvl w:ilvl="1" w:tplc="A75C0DCA">
      <w:start w:val="1"/>
      <w:numFmt w:val="lowerLetter"/>
      <w:lvlText w:val="%2."/>
      <w:lvlJc w:val="left"/>
      <w:pPr>
        <w:ind w:left="1440" w:hanging="360"/>
      </w:pPr>
    </w:lvl>
    <w:lvl w:ilvl="2" w:tplc="6C5EB6FC">
      <w:start w:val="1"/>
      <w:numFmt w:val="lowerRoman"/>
      <w:lvlText w:val="%3."/>
      <w:lvlJc w:val="right"/>
      <w:pPr>
        <w:ind w:left="2160" w:hanging="180"/>
      </w:pPr>
    </w:lvl>
    <w:lvl w:ilvl="3" w:tplc="5C14D4B8">
      <w:start w:val="1"/>
      <w:numFmt w:val="decimal"/>
      <w:lvlText w:val="%4."/>
      <w:lvlJc w:val="left"/>
      <w:pPr>
        <w:ind w:left="2880" w:hanging="360"/>
      </w:pPr>
    </w:lvl>
    <w:lvl w:ilvl="4" w:tplc="46E42756">
      <w:start w:val="1"/>
      <w:numFmt w:val="lowerLetter"/>
      <w:lvlText w:val="%5."/>
      <w:lvlJc w:val="left"/>
      <w:pPr>
        <w:ind w:left="3600" w:hanging="360"/>
      </w:pPr>
    </w:lvl>
    <w:lvl w:ilvl="5" w:tplc="65F6EA54">
      <w:start w:val="1"/>
      <w:numFmt w:val="lowerRoman"/>
      <w:lvlText w:val="%6."/>
      <w:lvlJc w:val="right"/>
      <w:pPr>
        <w:ind w:left="4320" w:hanging="180"/>
      </w:pPr>
    </w:lvl>
    <w:lvl w:ilvl="6" w:tplc="3C306B22">
      <w:start w:val="1"/>
      <w:numFmt w:val="decimal"/>
      <w:lvlText w:val="%7."/>
      <w:lvlJc w:val="left"/>
      <w:pPr>
        <w:ind w:left="5040" w:hanging="360"/>
      </w:pPr>
    </w:lvl>
    <w:lvl w:ilvl="7" w:tplc="5F8AA4DE">
      <w:start w:val="1"/>
      <w:numFmt w:val="lowerLetter"/>
      <w:lvlText w:val="%8."/>
      <w:lvlJc w:val="left"/>
      <w:pPr>
        <w:ind w:left="5760" w:hanging="360"/>
      </w:pPr>
    </w:lvl>
    <w:lvl w:ilvl="8" w:tplc="5B1CB230">
      <w:start w:val="1"/>
      <w:numFmt w:val="lowerRoman"/>
      <w:lvlText w:val="%9."/>
      <w:lvlJc w:val="right"/>
      <w:pPr>
        <w:ind w:left="6480" w:hanging="180"/>
      </w:pPr>
    </w:lvl>
  </w:abstractNum>
  <w:abstractNum w:abstractNumId="2" w15:restartNumberingAfterBreak="0">
    <w:nsid w:val="62470DD6"/>
    <w:multiLevelType w:val="hybridMultilevel"/>
    <w:tmpl w:val="0CDA53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C7A21"/>
    <w:rsid w:val="00126884"/>
    <w:rsid w:val="001915A3"/>
    <w:rsid w:val="00217F62"/>
    <w:rsid w:val="002728DC"/>
    <w:rsid w:val="00784A63"/>
    <w:rsid w:val="009E6D9F"/>
    <w:rsid w:val="00A838D7"/>
    <w:rsid w:val="00A906D8"/>
    <w:rsid w:val="00AB5A74"/>
    <w:rsid w:val="00E5253A"/>
    <w:rsid w:val="00EA0F78"/>
    <w:rsid w:val="00F071A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600D"/>
  <w15:docId w15:val="{4A689058-8A71-47D1-8705-EAA51A1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23DB3"/>
    <w:pPr>
      <w:spacing w:after="200"/>
    </w:pPr>
    <w:rPr>
      <w:i/>
      <w:iCs/>
      <w:color w:val="44546A" w:themeColor="text2"/>
      <w:sz w:val="18"/>
      <w:szCs w:val="18"/>
    </w:rPr>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E541C0"/>
    <w:rPr>
      <w:sz w:val="20"/>
      <w:szCs w:val="20"/>
    </w:rPr>
  </w:style>
  <w:style w:type="character" w:customStyle="1" w:styleId="a5">
    <w:name w:val="Текст сноски Знак"/>
    <w:basedOn w:val="a0"/>
    <w:link w:val="a4"/>
    <w:uiPriority w:val="99"/>
    <w:semiHidden/>
    <w:rsid w:val="00E541C0"/>
    <w:rPr>
      <w:sz w:val="20"/>
      <w:szCs w:val="20"/>
    </w:rPr>
  </w:style>
  <w:style w:type="character" w:styleId="a6">
    <w:name w:val="footnote reference"/>
    <w:basedOn w:val="a0"/>
    <w:uiPriority w:val="99"/>
    <w:semiHidden/>
    <w:unhideWhenUsed/>
    <w:rsid w:val="00E541C0"/>
    <w:rPr>
      <w:vertAlign w:val="superscript"/>
    </w:rPr>
  </w:style>
  <w:style w:type="paragraph" w:styleId="a7">
    <w:name w:val="endnote text"/>
    <w:basedOn w:val="a"/>
    <w:link w:val="a8"/>
    <w:uiPriority w:val="99"/>
    <w:semiHidden/>
    <w:unhideWhenUsed/>
    <w:rsid w:val="0054139F"/>
    <w:rPr>
      <w:sz w:val="20"/>
      <w:szCs w:val="20"/>
    </w:rPr>
  </w:style>
  <w:style w:type="character" w:customStyle="1" w:styleId="a8">
    <w:name w:val="Текст концевой сноски Знак"/>
    <w:basedOn w:val="a0"/>
    <w:link w:val="a7"/>
    <w:uiPriority w:val="99"/>
    <w:semiHidden/>
    <w:rsid w:val="0054139F"/>
    <w:rPr>
      <w:sz w:val="20"/>
      <w:szCs w:val="20"/>
    </w:rPr>
  </w:style>
  <w:style w:type="character" w:styleId="a9">
    <w:name w:val="endnote reference"/>
    <w:basedOn w:val="a0"/>
    <w:uiPriority w:val="99"/>
    <w:semiHidden/>
    <w:unhideWhenUsed/>
    <w:rsid w:val="0054139F"/>
    <w:rPr>
      <w:vertAlign w:val="superscript"/>
    </w:rPr>
  </w:style>
  <w:style w:type="table" w:styleId="aa">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a"/>
    <w:uiPriority w:val="39"/>
    <w:rsid w:val="00E5253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8</cp:revision>
  <dcterms:created xsi:type="dcterms:W3CDTF">2024-03-20T06:06:00Z</dcterms:created>
  <dcterms:modified xsi:type="dcterms:W3CDTF">2024-04-11T06:08:00Z</dcterms:modified>
</cp:coreProperties>
</file>