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8C" w:rsidRPr="00CD26BD" w:rsidRDefault="00621B8C" w:rsidP="00621B8C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621B8C" w:rsidRPr="00CD26BD" w:rsidRDefault="00621B8C" w:rsidP="00621B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621B8C" w:rsidRPr="00EA0699" w:rsidRDefault="00621B8C" w:rsidP="00EA0699">
      <w:pPr>
        <w:widowControl w:val="0"/>
        <w:suppressAutoHyphens/>
        <w:snapToGrid w:val="0"/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пропозицію щодо участі у відкритих торгах на закупівлю за предметом: </w:t>
      </w:r>
      <w:r w:rsidR="00B36C13" w:rsidRPr="00B36C13">
        <w:rPr>
          <w:rFonts w:ascii="Times New Roman" w:hAnsi="Times New Roman"/>
          <w:b/>
          <w:bCs/>
          <w:sz w:val="20"/>
          <w:szCs w:val="20"/>
          <w:lang w:val="uk-UA"/>
        </w:rPr>
        <w:t>«Медичні матеріали: ДК 021:2015 «Єдиний закупівельний словник» - 33140000-3 (</w:t>
      </w:r>
      <w:r w:rsidR="00B36C13" w:rsidRPr="00B36C13">
        <w:rPr>
          <w:rFonts w:ascii="Times New Roman" w:hAnsi="Times New Roman"/>
          <w:bCs/>
          <w:sz w:val="20"/>
          <w:szCs w:val="20"/>
          <w:lang w:val="uk-UA"/>
        </w:rPr>
        <w:t>63095 – Шприц/голка загального призначення; 63095 – Шприц/голка загального призначення; 63095 – Шприц/голка загального призначення; 63095 – Шприц/голка загального призначення; 63095 – Шприц/голка загального призначення; 63095 – Шприц/голка загального призначення; 63095 – Шприц/голка загального призначення; 63095 – Шприц/голка загального призначення; 63095 – Шприц/голка загального призначення; 63095 – Шприц/голка загального призначення; 45158 – Набір для крізьшкірних ін'єкцій, який не містить лікувальних засобів, разового застосування; 45158 – Набір для крізьшкірних ін'єкцій, який не містить лікувальних засобів, разового застосування; 58232 – Рулон ватний нестерильний; 58232 – Рулон ватний нестерильний; 48125 – Рулон марлевий, нестерильний; 48125 – Рулон марлевий нестерильний; 48125 – Рулон марлевий нестерильний; 48126 – Бинт марлевий стерильний; 48125 – Рулон марлевий нестерильний; 43222 – Захисна пов'язка для кінцівок; 43222 – Захисна пов'язка для кінцівок; 59014 – Бинт еластичний, з латексу гевеї, нестерильний; 58986 – Лейкопластир хірургічний універсальний нестерильний; 46922 – Гемостатичний засіб на основі хітозану</w:t>
      </w:r>
      <w:r w:rsidR="00B36C13" w:rsidRPr="00B36C13">
        <w:rPr>
          <w:rFonts w:ascii="Times New Roman" w:hAnsi="Times New Roman"/>
          <w:bCs/>
          <w:sz w:val="20"/>
          <w:szCs w:val="20"/>
        </w:rPr>
        <w:t xml:space="preserve">; </w:t>
      </w:r>
      <w:r w:rsidR="00B36C13" w:rsidRPr="00B36C13">
        <w:rPr>
          <w:rFonts w:ascii="Times New Roman" w:hAnsi="Times New Roman"/>
          <w:bCs/>
          <w:sz w:val="20"/>
          <w:szCs w:val="20"/>
          <w:lang w:val="uk-UA"/>
        </w:rPr>
        <w:t>16631 – Набір з несорбівного матеріалу для внутрішньо-венних вливань; 16631 – Набір з несорбівного матеріалу для внутрішньо-венних вливань; 16631 – Набір з несорбівного матеріалу для внутрішньо-венних вливань; 40548 – Хірургічна рукавичка, латексна; 47172 – Непудровані, оглядові / процедурні рукавички з латексу гевеї, нестерильні; 56286 – Рукавички оглядові / процедурні нітрилові, необпудровані, нестерильні)</w:t>
      </w:r>
      <w:r w:rsidR="00B36C13" w:rsidRPr="00B36C13">
        <w:rPr>
          <w:rFonts w:ascii="Times New Roman" w:hAnsi="Times New Roman"/>
          <w:b/>
          <w:bCs/>
          <w:sz w:val="20"/>
          <w:szCs w:val="20"/>
          <w:lang w:val="uk-UA"/>
        </w:rPr>
        <w:t>»</w:t>
      </w:r>
    </w:p>
    <w:p w:rsidR="00621B8C" w:rsidRPr="00CD26BD" w:rsidRDefault="00621B8C" w:rsidP="00621B8C">
      <w:pPr>
        <w:widowControl w:val="0"/>
        <w:tabs>
          <w:tab w:val="left" w:pos="2715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4749"/>
        <w:gridCol w:w="3684"/>
        <w:gridCol w:w="1701"/>
        <w:gridCol w:w="1559"/>
        <w:gridCol w:w="1560"/>
        <w:gridCol w:w="1559"/>
      </w:tblGrid>
      <w:tr w:rsidR="000F3849" w:rsidTr="000F384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№ п/п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P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Назва запропонованого товару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 w:rsidP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uk-UA" w:eastAsia="zh-CN"/>
              </w:rPr>
              <w:t>Назва та код відповідно до НК 024:2019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Одиниця виміру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Кількість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Lucida Sans Unicode" w:hAnsi="Times New Roman CYR" w:cs="Times New Roman CYR"/>
                <w:b/>
                <w:bCs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  <w:t>Ціна за одиницю, грн. з ПДВ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Всього, грн. з ПДВ</w:t>
            </w:r>
          </w:p>
        </w:tc>
      </w:tr>
      <w:tr w:rsidR="000F3849" w:rsidTr="000F384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0F3849" w:rsidTr="000F384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2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0F3849" w:rsidTr="000F384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3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0F3849" w:rsidTr="000F384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...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0F3849" w:rsidTr="000F3849"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Default="000F384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Загальна вартість тендерної пропозиції, грн. з ПДВ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ar-SA"/>
              </w:rPr>
              <w:t>якщо учасник не є платником ПДВ поруч з ціною має бути зазначено: «без ПДВ»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(цифрами та словами)</w:t>
            </w:r>
          </w:p>
        </w:tc>
      </w:tr>
    </w:tbl>
    <w:p w:rsidR="00621B8C" w:rsidRPr="00CD26BD" w:rsidRDefault="00621B8C" w:rsidP="00621B8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6516D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Особливостями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:rsidR="00621B8C" w:rsidRPr="00E80C63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Якщо нас визначено переможцем торгів, ми беремо на себе зобов’язання підписати договір із замовником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протягом строку дії нашої пропозиції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не пізніше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з дати прийняття рішення про намір укласти договір про закупівлю відповідно до вимог тендерної документації та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нашої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тендерної пропозиції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як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переможця процедури закупівлі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та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 раніше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з дати оприлюднення 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в електронній системі закупівель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повідомлення про намір укласти договір про закупівлю</w:t>
      </w:r>
      <w:r w:rsidR="00570D50"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 випадку обгрунтуваної необхідності строк для укладання договору може бути продовжений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60 днів</w:t>
      </w:r>
      <w:r w:rsidR="00570D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bookmarkStart w:id="0" w:name="_GoBack"/>
      <w:bookmarkEnd w:id="0"/>
      <w:r w:rsidRPr="00CD26B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p w:rsidR="005A4F41" w:rsidRPr="00CD26BD" w:rsidRDefault="005A4F41" w:rsidP="00621B8C">
      <w:pPr>
        <w:rPr>
          <w:lang w:val="uk-UA"/>
        </w:rPr>
      </w:pPr>
    </w:p>
    <w:sectPr w:rsidR="005A4F41" w:rsidRPr="00CD26BD" w:rsidSect="00B36C13">
      <w:pgSz w:w="16838" w:h="11906" w:orient="landscape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1B8C"/>
    <w:rsid w:val="000745BD"/>
    <w:rsid w:val="0009766A"/>
    <w:rsid w:val="000A1A26"/>
    <w:rsid w:val="000B3A32"/>
    <w:rsid w:val="000F3849"/>
    <w:rsid w:val="000F54B0"/>
    <w:rsid w:val="001846BD"/>
    <w:rsid w:val="001A43EE"/>
    <w:rsid w:val="001B02FE"/>
    <w:rsid w:val="001E0736"/>
    <w:rsid w:val="00233373"/>
    <w:rsid w:val="002E11CC"/>
    <w:rsid w:val="002F6407"/>
    <w:rsid w:val="003D3D23"/>
    <w:rsid w:val="004907E7"/>
    <w:rsid w:val="004C59A1"/>
    <w:rsid w:val="00570D50"/>
    <w:rsid w:val="005A4F41"/>
    <w:rsid w:val="00621B8C"/>
    <w:rsid w:val="0062399F"/>
    <w:rsid w:val="006321F9"/>
    <w:rsid w:val="0065077C"/>
    <w:rsid w:val="006516DD"/>
    <w:rsid w:val="00656AEB"/>
    <w:rsid w:val="006D3200"/>
    <w:rsid w:val="006D6424"/>
    <w:rsid w:val="006D6470"/>
    <w:rsid w:val="00701EB5"/>
    <w:rsid w:val="00725C36"/>
    <w:rsid w:val="00785825"/>
    <w:rsid w:val="0078754F"/>
    <w:rsid w:val="008044D3"/>
    <w:rsid w:val="00894070"/>
    <w:rsid w:val="009A6A03"/>
    <w:rsid w:val="009C4DAC"/>
    <w:rsid w:val="009C5F39"/>
    <w:rsid w:val="009E4758"/>
    <w:rsid w:val="00A2614B"/>
    <w:rsid w:val="00A91C14"/>
    <w:rsid w:val="00B36C13"/>
    <w:rsid w:val="00C04CA5"/>
    <w:rsid w:val="00C12ABA"/>
    <w:rsid w:val="00C61D22"/>
    <w:rsid w:val="00CD26BD"/>
    <w:rsid w:val="00DF2FEC"/>
    <w:rsid w:val="00E80C63"/>
    <w:rsid w:val="00E80DEC"/>
    <w:rsid w:val="00E91033"/>
    <w:rsid w:val="00EA0699"/>
    <w:rsid w:val="00EC49E1"/>
    <w:rsid w:val="00EF7B69"/>
    <w:rsid w:val="00F4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98017-983C-4888-B315-2CEF9596F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43</cp:revision>
  <dcterms:created xsi:type="dcterms:W3CDTF">2020-01-21T13:45:00Z</dcterms:created>
  <dcterms:modified xsi:type="dcterms:W3CDTF">2023-01-26T12:07:00Z</dcterms:modified>
</cp:coreProperties>
</file>