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0" w:rsidRDefault="00C803F4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5948B0" w:rsidRDefault="005948B0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948B0" w:rsidRDefault="005948B0">
      <w:pPr>
        <w:tabs>
          <w:tab w:val="left" w:pos="708"/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48B0" w:rsidRDefault="00C803F4">
      <w:pPr>
        <w:tabs>
          <w:tab w:val="left" w:pos="708"/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до предмету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закупівлі</w:t>
      </w:r>
      <w:proofErr w:type="spellEnd"/>
    </w:p>
    <w:p w:rsidR="005948B0" w:rsidRDefault="005948B0">
      <w:pPr>
        <w:tabs>
          <w:tab w:val="left" w:pos="708"/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48B0" w:rsidRDefault="00C803F4">
      <w:pPr>
        <w:tabs>
          <w:tab w:val="left" w:pos="708"/>
        </w:tabs>
        <w:suppressAutoHyphens/>
        <w:spacing w:after="160" w:line="259" w:lineRule="auto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код  ДК 021:2015-15330000-0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Оброблені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фрукти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овочі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сухофрукти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родзинки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повидло, паста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томатна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горох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колотий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горошок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консервований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квасоля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консервована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кукурудза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консервована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огірки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квашені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капуста квашена)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2861"/>
        <w:gridCol w:w="2214"/>
        <w:gridCol w:w="2145"/>
        <w:gridCol w:w="1348"/>
      </w:tblGrid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</w:p>
          <w:p w:rsidR="005948B0" w:rsidRDefault="005948B0">
            <w:pPr>
              <w:tabs>
                <w:tab w:val="left" w:pos="708"/>
              </w:tabs>
              <w:suppressAutoHyphens/>
              <w:spacing w:after="160" w:line="259" w:lineRule="auto"/>
              <w:ind w:left="-93" w:right="-63"/>
              <w:jc w:val="center"/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08"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Деталізований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 </w:t>
            </w:r>
          </w:p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ДК 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:2015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08"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товару  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08"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  <w:proofErr w:type="spellEnd"/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Сухофрукти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асортименті</w:t>
            </w:r>
            <w:proofErr w:type="spellEnd"/>
          </w:p>
        </w:tc>
        <w:tc>
          <w:tcPr>
            <w:tcW w:w="2214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15332410-1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Сухофрукти</w:t>
            </w:r>
            <w:proofErr w:type="spellEnd"/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кг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Родзинки</w:t>
            </w:r>
            <w:proofErr w:type="spellEnd"/>
          </w:p>
        </w:tc>
        <w:tc>
          <w:tcPr>
            <w:tcW w:w="2214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15332419-4 -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Родзинки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кісточок</w:t>
            </w:r>
            <w:proofErr w:type="spellEnd"/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кг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Повидло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вагове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фруктове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асортименті</w:t>
            </w:r>
            <w:proofErr w:type="spellEnd"/>
          </w:p>
        </w:tc>
        <w:tc>
          <w:tcPr>
            <w:tcW w:w="2214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15332100-5 -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Оброблені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фрукти</w:t>
            </w:r>
            <w:proofErr w:type="spellEnd"/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кг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томатна</w:t>
            </w:r>
            <w:proofErr w:type="spellEnd"/>
          </w:p>
        </w:tc>
        <w:tc>
          <w:tcPr>
            <w:tcW w:w="2214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15331425-2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Томатне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пюре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кг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колотий</w:t>
            </w:r>
            <w:proofErr w:type="spellEnd"/>
            <w:proofErr w:type="gramEnd"/>
          </w:p>
        </w:tc>
        <w:tc>
          <w:tcPr>
            <w:tcW w:w="2214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15331133-8 -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Колотий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горох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кг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Горошок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консервований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15331462-3 -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Консервований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горох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Квасоля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консервована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15331463-0 -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Консервована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квасоля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Кукурудза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консервована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15331470-2 -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Цукрова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кукурудза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квашені</w:t>
            </w:r>
            <w:proofErr w:type="spellEnd"/>
          </w:p>
        </w:tc>
        <w:tc>
          <w:tcPr>
            <w:tcW w:w="2214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15331480-5 -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оброблені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тимчасового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зберігання</w:t>
            </w:r>
            <w:proofErr w:type="spellEnd"/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кг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11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Капуста квашена</w:t>
            </w:r>
          </w:p>
        </w:tc>
        <w:tc>
          <w:tcPr>
            <w:tcW w:w="2214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15331142-4 -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Оброблена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капуста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948B0" w:rsidRDefault="00C803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кг</w:t>
            </w:r>
          </w:p>
        </w:tc>
      </w:tr>
    </w:tbl>
    <w:p w:rsidR="005948B0" w:rsidRDefault="005948B0">
      <w:pPr>
        <w:tabs>
          <w:tab w:val="left" w:pos="708"/>
        </w:tabs>
        <w:suppressAutoHyphens/>
        <w:spacing w:after="160" w:line="259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2526"/>
        <w:gridCol w:w="6103"/>
      </w:tblGrid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товару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характеристики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5948B0">
            <w:pPr>
              <w:numPr>
                <w:ilvl w:val="0"/>
                <w:numId w:val="12"/>
              </w:numPr>
              <w:tabs>
                <w:tab w:val="left" w:pos="708"/>
              </w:tabs>
              <w:suppressAutoHyphens/>
              <w:spacing w:after="0" w:line="264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Сухофрукти</w:t>
            </w:r>
            <w:proofErr w:type="spellEnd"/>
          </w:p>
        </w:tc>
        <w:tc>
          <w:tcPr>
            <w:tcW w:w="6103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Суміш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яблука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груша, абрикос,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чорнослив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суміш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фруктів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вагові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Доброякісні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сушені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фрукти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сухі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вологість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14-25%),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пружні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неламкі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кришаться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солодкуватокислого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солодкуватого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смаку,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еластичні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розбухати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Вони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>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бруднити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перетворюватися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грудки,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стиснути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Запах і смак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сушених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фруктів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приємні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властиві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фрукті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присмаку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запаху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затхлості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кислого запаху і т.п.).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допускаються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сушені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фрукти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забр</w:t>
            </w:r>
            <w:r>
              <w:rPr>
                <w:rFonts w:ascii="Times New Roman" w:eastAsia="Times New Roman" w:hAnsi="Times New Roman" w:cs="Times New Roman"/>
              </w:rPr>
              <w:t>уднені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загнивші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заплісняві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уражені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сторонніми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запахом, смаком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домішками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Продукт не повинен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ГМО,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рослинних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стабілізаторів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ароматизаторів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Товар,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сертифікати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</w:t>
            </w:r>
            <w:r>
              <w:rPr>
                <w:rFonts w:ascii="Times New Roman" w:eastAsia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санітарно-епідеміологічної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експертизи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подібний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загальнообов’язковими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нормами і правилами.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5948B0">
            <w:pPr>
              <w:numPr>
                <w:ilvl w:val="0"/>
                <w:numId w:val="13"/>
              </w:numPr>
              <w:tabs>
                <w:tab w:val="left" w:pos="708"/>
              </w:tabs>
              <w:suppressAutoHyphens/>
              <w:spacing w:after="0" w:line="264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дзинки</w:t>
            </w:r>
            <w:proofErr w:type="spellEnd"/>
          </w:p>
        </w:tc>
        <w:tc>
          <w:tcPr>
            <w:tcW w:w="6103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родзинок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властивий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сушеному винограду,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солодкий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солодко-кислий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присмаків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існяви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золотистого до коричневого.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кісточок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5948B0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spacing w:after="0" w:line="264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Повидло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фруктове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асортименті</w:t>
            </w:r>
            <w:proofErr w:type="spellEnd"/>
          </w:p>
        </w:tc>
        <w:tc>
          <w:tcPr>
            <w:tcW w:w="6103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Однорідна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перетерта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кісточок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без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протертих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шматочків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шкірочки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рослинних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домішок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Смак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солодкий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кислувато-солодкий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15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Паста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томатна</w:t>
            </w:r>
            <w:proofErr w:type="spellEnd"/>
          </w:p>
        </w:tc>
        <w:tc>
          <w:tcPr>
            <w:tcW w:w="6103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Консистенція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однорідна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густа, перетерта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протертих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шматочкі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Смак та запах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характерні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томатній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присмаків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мікробіологічними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промислової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стерильності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16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Горох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колотий</w:t>
            </w:r>
            <w:proofErr w:type="spellEnd"/>
            <w:proofErr w:type="gramEnd"/>
          </w:p>
        </w:tc>
        <w:tc>
          <w:tcPr>
            <w:tcW w:w="6103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Горох лущений,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колотий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полірований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Повинен бути у здоровому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пошкоджений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хворобами,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без теплового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сушіння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властивий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здоровому зерну (без затхлого, солодового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пліснявого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домішок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Смак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притаманний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гороху,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присмаків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пестицидів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нітратів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допустимий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17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Горошок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консервований</w:t>
            </w:r>
            <w:proofErr w:type="spellEnd"/>
          </w:p>
        </w:tc>
        <w:tc>
          <w:tcPr>
            <w:tcW w:w="6103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</w:tabs>
              <w:suppressAutoHyphens/>
              <w:spacing w:after="160"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молодих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зерен гороху,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залитий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розчином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чистим,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Смак та запах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характерні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зеленому горошку,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присмакі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мікробіологічними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промислової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стерильності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Без оцту.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18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Консервована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квасоля</w:t>
            </w:r>
            <w:proofErr w:type="spellEnd"/>
          </w:p>
        </w:tc>
        <w:tc>
          <w:tcPr>
            <w:tcW w:w="6103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  <w:tab w:val="left" w:pos="0"/>
                <w:tab w:val="left" w:pos="993"/>
              </w:tabs>
              <w:suppressAutoHyphens/>
              <w:spacing w:after="160"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Квасоля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приготовлена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білих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квасолі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розсолі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рецептурам,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порядку.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Квасоля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цілою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чистою,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присмаків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мікробіол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огічними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промислової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стерильності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Продукт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консервантів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штучних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згущувачів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Без оцту.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19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Кукурудза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консервована</w:t>
            </w:r>
            <w:proofErr w:type="spellEnd"/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  <w:tab w:val="left" w:pos="180"/>
              </w:tabs>
              <w:suppressAutoHyphens/>
              <w:spacing w:after="160"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Кукурудза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цукрових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кукурудзи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залита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розчином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Кукурудза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цілою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чистою,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Смак та запах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характерні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кукурудзі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присмаків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мікробіологічними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промислової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терильності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End"/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21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Огірки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квашені</w:t>
            </w:r>
            <w:proofErr w:type="spellEnd"/>
          </w:p>
        </w:tc>
        <w:tc>
          <w:tcPr>
            <w:tcW w:w="6103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  <w:tab w:val="left" w:pos="180"/>
              </w:tabs>
              <w:suppressAutoHyphens/>
              <w:spacing w:after="160" w:line="259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м’ят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зморщені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пошкоджень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домішки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дозволяються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Консистенція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</w:t>
            </w:r>
            <w:r>
              <w:rPr>
                <w:rFonts w:ascii="Times New Roman" w:eastAsia="Times New Roman" w:hAnsi="Times New Roman" w:cs="Times New Roman"/>
                <w:sz w:val="24"/>
              </w:rPr>
              <w:t>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міцні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м’якоть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просочена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розсолом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хрустка. Смак та запах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властиві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квашеного продукту,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солонувато-кислуватий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смак з ароматом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присмаком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прянощі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присмаку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запаху.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зеленувато-оливковий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відтінків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опіків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розсолу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мутнуватий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приємного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аромату,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солонувато-кислуватого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смаку.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квашені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прокислими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видимих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мікробіологічного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існяви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Привозити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пластикових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5948B0" w:rsidTr="00C803F4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5948B0">
            <w:pPr>
              <w:numPr>
                <w:ilvl w:val="0"/>
                <w:numId w:val="22"/>
              </w:numPr>
              <w:tabs>
                <w:tab w:val="left" w:pos="708"/>
              </w:tabs>
              <w:suppressAutoHyphens/>
              <w:spacing w:after="160" w:line="259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0" w:rsidRDefault="00C803F4">
            <w:pPr>
              <w:suppressAutoHyphens/>
              <w:spacing w:after="0" w:line="264" w:lineRule="auto"/>
              <w:ind w:firstLine="4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Капуста квашена</w:t>
            </w:r>
          </w:p>
        </w:tc>
        <w:tc>
          <w:tcPr>
            <w:tcW w:w="6103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0" w:rsidRDefault="00C803F4">
            <w:pPr>
              <w:tabs>
                <w:tab w:val="left" w:pos="708"/>
                <w:tab w:val="left" w:pos="180"/>
              </w:tabs>
              <w:suppressAutoHyphens/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Капуста приготовлена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пошаткованої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капусти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ізніх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цукру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листки, способом молочнокислого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невеликої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моркви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лавровий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лист). Капуста квашена   повинна бу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хрумка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без ослизлого соку,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приємна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запах. Продукт не повинен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видимих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мікробіологічного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існяви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Привозити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пластикових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</w:tbl>
    <w:p w:rsidR="005948B0" w:rsidRDefault="00C803F4">
      <w:pPr>
        <w:tabs>
          <w:tab w:val="left" w:pos="708"/>
        </w:tabs>
        <w:suppressAutoHyphens/>
        <w:spacing w:after="160" w:line="259" w:lineRule="auto"/>
        <w:ind w:right="-25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5948B0" w:rsidRDefault="00C803F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</w:rPr>
        <w:t xml:space="preserve">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23.12.1997 року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771/97-ВР  (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ідтверджуватися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документами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Постачатись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непошкодженій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упаковці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сертифікати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товару,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</w:t>
      </w:r>
      <w:r>
        <w:rPr>
          <w:rFonts w:ascii="Times New Roman" w:eastAsia="Times New Roman" w:hAnsi="Times New Roman" w:cs="Times New Roman"/>
          <w:sz w:val="24"/>
        </w:rPr>
        <w:t>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повинна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середньостатистичну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Державною службою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статистики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пропонує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Договором,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</w:t>
      </w:r>
      <w:r>
        <w:rPr>
          <w:rFonts w:ascii="Times New Roman" w:eastAsia="Times New Roman" w:hAnsi="Times New Roman" w:cs="Times New Roman"/>
          <w:sz w:val="24"/>
        </w:rPr>
        <w:t>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страхування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завантажування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розвантажування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придатності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на момент поставки повинен бути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80%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прид</w:t>
      </w:r>
      <w:r>
        <w:rPr>
          <w:rFonts w:ascii="Times New Roman" w:eastAsia="Times New Roman" w:hAnsi="Times New Roman" w:cs="Times New Roman"/>
          <w:sz w:val="24"/>
        </w:rPr>
        <w:t>атності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</w:rPr>
        <w:t>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виробництві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дефектів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простроченого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придатності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товару,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чого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якимось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вплинути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характеристики товару,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 в </w:t>
      </w:r>
      <w:proofErr w:type="spellStart"/>
      <w:r>
        <w:rPr>
          <w:rFonts w:ascii="Times New Roman" w:eastAsia="Times New Roman" w:hAnsi="Times New Roman" w:cs="Times New Roman"/>
          <w:sz w:val="24"/>
        </w:rPr>
        <w:t>асортименті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вказаній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заявці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дня,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лист.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4.Умови поставки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спеціальним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автотранспортом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вищезазначених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отриманням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14.10.1997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363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перевезень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вантажів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автомобільним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транспортом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транспорту, 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супроводжують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дорозі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вантажно-розвантажувальні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книжку з результатами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огляді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Доставка товару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Строк поставки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до 31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2022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невеликими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потребою,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1-го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дня з дня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пошті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оплачує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пересилкою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накладні,витрати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доставці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і т.п.)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супровідних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</w:t>
      </w:r>
      <w:r>
        <w:rPr>
          <w:rFonts w:ascii="Times New Roman" w:eastAsia="Times New Roman" w:hAnsi="Times New Roman" w:cs="Times New Roman"/>
          <w:sz w:val="24"/>
        </w:rPr>
        <w:t>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повинен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 поставки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завірені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печаткою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про 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сертифікати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товару), в </w:t>
      </w:r>
      <w:proofErr w:type="spellStart"/>
      <w:r>
        <w:rPr>
          <w:rFonts w:ascii="Times New Roman" w:eastAsia="Times New Roman" w:hAnsi="Times New Roman" w:cs="Times New Roman"/>
          <w:sz w:val="24"/>
        </w:rPr>
        <w:t>як</w:t>
      </w:r>
      <w:r>
        <w:rPr>
          <w:rFonts w:ascii="Times New Roman" w:eastAsia="Times New Roman" w:hAnsi="Times New Roman" w:cs="Times New Roman"/>
          <w:sz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запропоновану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продукцію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25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</w:t>
      </w:r>
      <w:r>
        <w:rPr>
          <w:rFonts w:ascii="Times New Roman" w:eastAsia="Times New Roman" w:hAnsi="Times New Roman" w:cs="Times New Roman"/>
          <w:sz w:val="24"/>
        </w:rPr>
        <w:t>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експлуатаційного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пов’язано</w:t>
      </w:r>
      <w:proofErr w:type="gramEnd"/>
      <w:r>
        <w:rPr>
          <w:rFonts w:ascii="Times New Roman" w:eastAsia="Times New Roman" w:hAnsi="Times New Roman" w:cs="Times New Roman"/>
          <w:sz w:val="24"/>
        </w:rPr>
        <w:t>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виробництвом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тваринного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имагає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експлуатаційного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обігу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посиланням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номер у Дер</w:t>
      </w:r>
      <w:r>
        <w:rPr>
          <w:rFonts w:ascii="Times New Roman" w:eastAsia="Times New Roman" w:hAnsi="Times New Roman" w:cs="Times New Roman"/>
          <w:sz w:val="24"/>
        </w:rPr>
        <w:t xml:space="preserve">жавному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ринку.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Маркування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06.12.2018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2639-VIII.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чинного д</w:t>
      </w:r>
      <w:r>
        <w:rPr>
          <w:rFonts w:ascii="Times New Roman" w:eastAsia="Times New Roman" w:hAnsi="Times New Roman" w:cs="Times New Roman"/>
          <w:sz w:val="24"/>
        </w:rPr>
        <w:t xml:space="preserve">оговору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дезінфекції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автотранспортних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лист (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бланку,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завірений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особи)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до закладу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перемоги.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я</w:t>
      </w:r>
      <w:r>
        <w:rPr>
          <w:rFonts w:ascii="Times New Roman" w:eastAsia="Times New Roman" w:hAnsi="Times New Roman" w:cs="Times New Roman"/>
          <w:i/>
          <w:sz w:val="24"/>
        </w:rPr>
        <w:t>кщо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міститься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конкретну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торговельну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фірму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патент,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конструкцію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тип предмета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читати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".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ознайомлені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погоджуємось</w:t>
      </w:r>
      <w:proofErr w:type="spellEnd"/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"___" ________________ 20___ року                       ______________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ind w:left="6030" w:hanging="144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П</w:t>
      </w:r>
      <w:proofErr w:type="gramEnd"/>
      <w:r>
        <w:rPr>
          <w:rFonts w:ascii="Times New Roman" w:eastAsia="Times New Roman" w:hAnsi="Times New Roman" w:cs="Times New Roman"/>
          <w:sz w:val="18"/>
        </w:rPr>
        <w:t>ідпис</w:t>
      </w:r>
      <w:proofErr w:type="spellEnd"/>
      <w:r>
        <w:rPr>
          <w:rFonts w:ascii="Times New Roman" w:eastAsia="Times New Roman" w:hAnsi="Times New Roman" w:cs="Times New Roman"/>
          <w:sz w:val="18"/>
        </w:rPr>
        <w:t>] [</w:t>
      </w:r>
      <w:proofErr w:type="spellStart"/>
      <w:r>
        <w:rPr>
          <w:rFonts w:ascii="Times New Roman" w:eastAsia="Times New Roman" w:hAnsi="Times New Roman" w:cs="Times New Roman"/>
          <w:sz w:val="18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посада </w:t>
      </w:r>
      <w:proofErr w:type="spellStart"/>
      <w:r>
        <w:rPr>
          <w:rFonts w:ascii="Times New Roman" w:eastAsia="Times New Roman" w:hAnsi="Times New Roman" w:cs="Times New Roman"/>
          <w:sz w:val="18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18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18"/>
        </w:rPr>
        <w:t>]</w:t>
      </w:r>
    </w:p>
    <w:p w:rsidR="005948B0" w:rsidRDefault="00C803F4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М.П. (</w:t>
      </w:r>
      <w:proofErr w:type="gramStart"/>
      <w:r>
        <w:rPr>
          <w:rFonts w:ascii="Times New Roman" w:eastAsia="Times New Roman" w:hAnsi="Times New Roman" w:cs="Times New Roman"/>
          <w:sz w:val="18"/>
        </w:rPr>
        <w:t>у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раз</w:t>
      </w:r>
      <w:proofErr w:type="gramEnd"/>
      <w:r>
        <w:rPr>
          <w:rFonts w:ascii="Times New Roman" w:eastAsia="Times New Roman" w:hAnsi="Times New Roman" w:cs="Times New Roman"/>
          <w:sz w:val="18"/>
        </w:rPr>
        <w:t>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печатки)</w:t>
      </w:r>
    </w:p>
    <w:sectPr w:rsidR="005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857"/>
    <w:multiLevelType w:val="multilevel"/>
    <w:tmpl w:val="45B22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92FBE"/>
    <w:multiLevelType w:val="multilevel"/>
    <w:tmpl w:val="811A4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35126"/>
    <w:multiLevelType w:val="multilevel"/>
    <w:tmpl w:val="D690E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57B35"/>
    <w:multiLevelType w:val="multilevel"/>
    <w:tmpl w:val="EE189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55163"/>
    <w:multiLevelType w:val="multilevel"/>
    <w:tmpl w:val="2F369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419D7"/>
    <w:multiLevelType w:val="multilevel"/>
    <w:tmpl w:val="F7400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F67A62"/>
    <w:multiLevelType w:val="multilevel"/>
    <w:tmpl w:val="A9AA6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D2B14"/>
    <w:multiLevelType w:val="multilevel"/>
    <w:tmpl w:val="9CCAA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B64E08"/>
    <w:multiLevelType w:val="multilevel"/>
    <w:tmpl w:val="B558A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C28A7"/>
    <w:multiLevelType w:val="multilevel"/>
    <w:tmpl w:val="A8FE8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9E72D8"/>
    <w:multiLevelType w:val="multilevel"/>
    <w:tmpl w:val="2AEC0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EA5BF1"/>
    <w:multiLevelType w:val="multilevel"/>
    <w:tmpl w:val="032AA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BB21BD"/>
    <w:multiLevelType w:val="multilevel"/>
    <w:tmpl w:val="35B00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866CA"/>
    <w:multiLevelType w:val="multilevel"/>
    <w:tmpl w:val="40462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BF0241"/>
    <w:multiLevelType w:val="multilevel"/>
    <w:tmpl w:val="35F68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C967FA"/>
    <w:multiLevelType w:val="multilevel"/>
    <w:tmpl w:val="77FC8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857DD0"/>
    <w:multiLevelType w:val="multilevel"/>
    <w:tmpl w:val="BBA07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53CB2"/>
    <w:multiLevelType w:val="multilevel"/>
    <w:tmpl w:val="7D50E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B85B8D"/>
    <w:multiLevelType w:val="multilevel"/>
    <w:tmpl w:val="078CC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2C6DCE"/>
    <w:multiLevelType w:val="multilevel"/>
    <w:tmpl w:val="AB86A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BB646E"/>
    <w:multiLevelType w:val="multilevel"/>
    <w:tmpl w:val="1A94E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1372ED"/>
    <w:multiLevelType w:val="multilevel"/>
    <w:tmpl w:val="9B4AF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5"/>
  </w:num>
  <w:num w:numId="5">
    <w:abstractNumId w:val="21"/>
  </w:num>
  <w:num w:numId="6">
    <w:abstractNumId w:val="6"/>
  </w:num>
  <w:num w:numId="7">
    <w:abstractNumId w:val="19"/>
  </w:num>
  <w:num w:numId="8">
    <w:abstractNumId w:val="20"/>
  </w:num>
  <w:num w:numId="9">
    <w:abstractNumId w:val="16"/>
  </w:num>
  <w:num w:numId="10">
    <w:abstractNumId w:val="7"/>
  </w:num>
  <w:num w:numId="11">
    <w:abstractNumId w:val="18"/>
  </w:num>
  <w:num w:numId="12">
    <w:abstractNumId w:val="13"/>
  </w:num>
  <w:num w:numId="13">
    <w:abstractNumId w:val="5"/>
  </w:num>
  <w:num w:numId="14">
    <w:abstractNumId w:val="14"/>
  </w:num>
  <w:num w:numId="15">
    <w:abstractNumId w:val="1"/>
  </w:num>
  <w:num w:numId="16">
    <w:abstractNumId w:val="9"/>
  </w:num>
  <w:num w:numId="17">
    <w:abstractNumId w:val="10"/>
  </w:num>
  <w:num w:numId="18">
    <w:abstractNumId w:val="3"/>
  </w:num>
  <w:num w:numId="19">
    <w:abstractNumId w:val="11"/>
  </w:num>
  <w:num w:numId="20">
    <w:abstractNumId w:val="2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8B0"/>
    <w:rsid w:val="005948B0"/>
    <w:rsid w:val="00C8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</cp:lastModifiedBy>
  <cp:revision>2</cp:revision>
  <dcterms:created xsi:type="dcterms:W3CDTF">2022-08-11T14:04:00Z</dcterms:created>
  <dcterms:modified xsi:type="dcterms:W3CDTF">2022-08-11T14:07:00Z</dcterms:modified>
</cp:coreProperties>
</file>