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6"/>
          <w:szCs w:val="26"/>
          <w:lang w:val="en-US"/>
        </w:rPr>
      </w:pPr>
      <w:r>
        <w:rPr>
          <w:rFonts w:ascii="Times New Roman" w:hAnsi="Times New Roman"/>
          <w:b/>
          <w:bCs/>
          <w:sz w:val="26"/>
          <w:szCs w:val="26"/>
          <w:lang w:val="en-US"/>
        </w:rPr>
      </w:r>
    </w:p>
    <w:p>
      <w:pPr>
        <w:pStyle w:val="Normal"/>
        <w:jc w:val="center"/>
        <w:rPr>
          <w:rFonts w:ascii="Times New Roman" w:hAnsi="Times New Roman"/>
          <w:b/>
          <w:b/>
          <w:bCs/>
          <w:sz w:val="26"/>
          <w:szCs w:val="26"/>
        </w:rPr>
      </w:pPr>
      <w:r>
        <w:rPr>
          <w:rFonts w:ascii="Times New Roman" w:hAnsi="Times New Roman"/>
          <w:b/>
          <w:bCs/>
          <w:sz w:val="26"/>
          <w:szCs w:val="26"/>
        </w:rPr>
        <w:t xml:space="preserve">Комунальне некомерційне підприємство «Бердичівська міська лікарня»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Бердичівської міської  ради</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tbl>
      <w:tblPr>
        <w:tblW w:w="960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66"/>
        <w:gridCol w:w="5534"/>
      </w:tblGrid>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rFonts w:ascii="Times New Roman" w:hAnsi="Times New Roman" w:cs="Times New Roman"/>
                <w:b/>
                <w:b/>
                <w:bCs/>
                <w:sz w:val="24"/>
                <w:szCs w:val="24"/>
              </w:rPr>
            </w:pPr>
            <w:r>
              <w:rPr>
                <w:rFonts w:cs="Times New Roman" w:ascii="Times New Roman" w:hAnsi="Times New Roman"/>
                <w:b/>
                <w:bCs/>
                <w:sz w:val="24"/>
                <w:szCs w:val="24"/>
              </w:rPr>
              <w:t>"ЗАТВЕРДЖЕНО"</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rFonts w:ascii="Times New Roman" w:hAnsi="Times New Roman" w:cs="Times New Roman"/>
                <w:b/>
                <w:b/>
                <w:bCs/>
                <w:sz w:val="24"/>
                <w:szCs w:val="24"/>
              </w:rPr>
            </w:pPr>
            <w:r>
              <w:rPr>
                <w:rFonts w:cs="Times New Roman" w:ascii="Times New Roman" w:hAnsi="Times New Roman"/>
                <w:b/>
                <w:bCs/>
                <w:sz w:val="24"/>
                <w:szCs w:val="24"/>
              </w:rPr>
              <w:t>Уповноважена особа</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pPr>
            <w:r>
              <w:rPr>
                <w:rFonts w:cs="Times New Roman" w:ascii="Times New Roman" w:hAnsi="Times New Roman"/>
                <w:b/>
                <w:bCs/>
                <w:sz w:val="24"/>
                <w:szCs w:val="24"/>
              </w:rPr>
              <w:t xml:space="preserve">___________ </w:t>
            </w:r>
            <w:r>
              <w:rPr>
                <w:rFonts w:cs="Times New Roman" w:ascii="Times New Roman" w:hAnsi="Times New Roman"/>
                <w:b/>
                <w:bCs/>
                <w:color w:val="000000"/>
                <w:sz w:val="24"/>
                <w:szCs w:val="24"/>
              </w:rPr>
              <w:t>Олена СЕМЕНЮК</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pPr>
            <w:r>
              <w:rPr>
                <w:rFonts w:cs="Times New Roman" w:ascii="Times New Roman" w:hAnsi="Times New Roman"/>
                <w:b/>
                <w:bCs/>
                <w:sz w:val="24"/>
                <w:szCs w:val="24"/>
                <w:shd w:fill="FFFFFF" w:val="clear"/>
              </w:rPr>
              <w:t xml:space="preserve">Рішення </w:t>
            </w:r>
            <w:r>
              <w:rPr>
                <w:rFonts w:cs="Times New Roman" w:ascii="Times New Roman" w:hAnsi="Times New Roman"/>
                <w:b/>
                <w:bCs/>
                <w:color w:val="000000"/>
                <w:sz w:val="24"/>
                <w:szCs w:val="24"/>
              </w:rPr>
              <w:t>№ 15</w:t>
            </w:r>
            <w:r>
              <w:rPr>
                <w:rFonts w:cs="Times New Roman" w:ascii="Times New Roman" w:hAnsi="Times New Roman"/>
                <w:b/>
                <w:bCs/>
                <w:color w:val="C9211E"/>
                <w:sz w:val="24"/>
                <w:szCs w:val="24"/>
              </w:rPr>
              <w:t xml:space="preserve"> </w:t>
            </w:r>
            <w:r>
              <w:rPr>
                <w:rFonts w:cs="Times New Roman" w:ascii="Times New Roman" w:hAnsi="Times New Roman"/>
                <w:b/>
                <w:bCs/>
                <w:color w:val="000000"/>
                <w:sz w:val="24"/>
                <w:szCs w:val="24"/>
              </w:rPr>
              <w:t>від 12.03.2024 р</w:t>
            </w:r>
            <w:r>
              <w:rPr>
                <w:rFonts w:cs="Times New Roman" w:ascii="Times New Roman" w:hAnsi="Times New Roman"/>
                <w:b/>
                <w:bCs/>
                <w:color w:val="000000"/>
                <w:sz w:val="24"/>
                <w:szCs w:val="24"/>
                <w:shd w:fill="FFFFFF" w:val="clear"/>
              </w:rPr>
              <w:t>.</w:t>
            </w:r>
          </w:p>
        </w:tc>
      </w:tr>
    </w:tbl>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bl>
      <w:tblPr>
        <w:tblW w:w="98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48"/>
      </w:tblGrid>
      <w:tr>
        <w:trPr/>
        <w:tc>
          <w:tcPr>
            <w:tcW w:w="9848" w:type="dxa"/>
            <w:tcBorders/>
            <w:shd w:color="auto" w:fill="auto" w:val="clear"/>
          </w:tcPr>
          <w:p>
            <w:pPr>
              <w:pStyle w:val="Normal"/>
              <w:widowControl w:val="false"/>
              <w:spacing w:lineRule="auto" w:line="240" w:before="0" w:after="160"/>
              <w:jc w:val="center"/>
              <w:rPr>
                <w:rFonts w:ascii="Times New Roman" w:hAnsi="Times New Roman" w:eastAsia="Times New Roman" w:cs="Times New Roman"/>
                <w:b/>
                <w:b/>
                <w:bCs/>
                <w:sz w:val="40"/>
                <w:szCs w:val="40"/>
              </w:rPr>
            </w:pPr>
            <w:r>
              <w:rPr>
                <w:rFonts w:eastAsia="Times New Roman" w:cs="Times New Roman" w:ascii="Times New Roman" w:hAnsi="Times New Roman"/>
                <w:b/>
                <w:bCs/>
                <w:sz w:val="40"/>
                <w:szCs w:val="40"/>
              </w:rPr>
              <w:t>ТЕНДЕРНА ДОКУМЕНТАЦІЯ</w:t>
            </w:r>
          </w:p>
        </w:tc>
      </w:tr>
    </w:tbl>
    <w:p>
      <w:pPr>
        <w:pStyle w:val="Normal"/>
        <w:spacing w:lineRule="auto" w:line="24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t xml:space="preserve">по процедурі закупівлі  </w:t>
      </w:r>
    </w:p>
    <w:p>
      <w:pPr>
        <w:pStyle w:val="Normal"/>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before="0" w:after="0"/>
        <w:jc w:val="center"/>
        <w:rPr>
          <w:sz w:val="32"/>
          <w:szCs w:val="32"/>
        </w:rPr>
      </w:pPr>
      <w:r>
        <w:rPr>
          <w:rFonts w:eastAsia="Times New Roman" w:cs="Times New Roman" w:ascii="Times New Roman" w:hAnsi="Times New Roman"/>
          <w:b/>
          <w:bCs/>
          <w:sz w:val="32"/>
          <w:szCs w:val="32"/>
        </w:rPr>
        <w:t>ВІДКРИТІ ТОРГИ З ОСОБЛИВОСТЯМИ</w:t>
      </w:r>
    </w:p>
    <w:p>
      <w:pPr>
        <w:pStyle w:val="Normal"/>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rFonts w:ascii="Times New Roman" w:hAnsi="Times New Roman" w:eastAsia="" w:cs="Times New Roman" w:eastAsiaTheme="minorEastAsia"/>
          <w:b/>
          <w:b/>
          <w:bCs/>
          <w:sz w:val="32"/>
          <w:szCs w:val="32"/>
          <w:lang w:eastAsia="uk-UA"/>
        </w:rPr>
      </w:pPr>
      <w:r>
        <w:rPr>
          <w:rFonts w:eastAsia="Times New Roman" w:cs="Times New Roman" w:ascii="Times New Roman" w:hAnsi="Times New Roman"/>
          <w:b/>
          <w:bCs/>
          <w:sz w:val="32"/>
          <w:szCs w:val="32"/>
        </w:rPr>
        <w:t>П</w:t>
      </w:r>
      <w:r>
        <w:rPr>
          <w:rFonts w:eastAsia="Times New Roman" w:cs="Times New Roman" w:ascii="Times New Roman" w:hAnsi="Times New Roman"/>
          <w:b/>
          <w:bCs/>
          <w:color w:val="000000"/>
          <w:sz w:val="32"/>
          <w:szCs w:val="32"/>
        </w:rPr>
        <w:t>ослуги</w:t>
      </w:r>
      <w:bookmarkStart w:id="0" w:name="_Hlk1269221821"/>
      <w:r>
        <w:rPr>
          <w:rFonts w:eastAsia="Times New Roman" w:cs="Times New Roman" w:ascii="Times New Roman" w:hAnsi="Times New Roman"/>
          <w:b/>
          <w:bCs/>
          <w:color w:val="000000"/>
          <w:sz w:val="32"/>
          <w:szCs w:val="32"/>
        </w:rPr>
        <w:t xml:space="preserve"> </w:t>
      </w:r>
      <w:r>
        <w:rPr>
          <w:rFonts w:eastAsia="Times New Roman" w:cs="Times New Roman" w:ascii="Times New Roman" w:hAnsi="Times New Roman"/>
          <w:b/>
          <w:bCs/>
          <w:sz w:val="32"/>
          <w:szCs w:val="32"/>
        </w:rPr>
        <w:t xml:space="preserve">з </w:t>
      </w:r>
      <w:r>
        <w:rPr>
          <w:rFonts w:eastAsia="" w:cs="Times New Roman" w:ascii="Times New Roman" w:hAnsi="Times New Roman" w:eastAsiaTheme="minorEastAsia"/>
          <w:b/>
          <w:bCs/>
          <w:sz w:val="32"/>
          <w:szCs w:val="32"/>
          <w:lang w:eastAsia="uk-UA"/>
        </w:rPr>
        <w:t>повірки та калібрування</w:t>
      </w:r>
      <w:bookmarkEnd w:id="0"/>
      <w:r>
        <w:rPr>
          <w:rFonts w:eastAsia="" w:cs="Times New Roman" w:ascii="Times New Roman" w:hAnsi="Times New Roman" w:eastAsiaTheme="minorEastAsia"/>
          <w:b/>
          <w:bCs/>
          <w:sz w:val="32"/>
          <w:szCs w:val="32"/>
          <w:lang w:eastAsia="uk-UA"/>
        </w:rPr>
        <w:t xml:space="preserve"> засобів вимірювальної техніки</w:t>
      </w:r>
    </w:p>
    <w:p>
      <w:pPr>
        <w:pStyle w:val="Normal"/>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rFonts w:ascii="Times New Roman" w:hAnsi="Times New Roman" w:cs="Times New Roman"/>
          <w:sz w:val="32"/>
          <w:szCs w:val="32"/>
        </w:rPr>
      </w:pPr>
      <w:r>
        <w:rPr>
          <w:rFonts w:eastAsia="" w:cs="Times New Roman" w:ascii="Times New Roman" w:hAnsi="Times New Roman" w:eastAsiaTheme="minorEastAsia"/>
          <w:b/>
          <w:bCs/>
          <w:sz w:val="32"/>
          <w:szCs w:val="32"/>
          <w:lang w:eastAsia="uk-UA"/>
        </w:rPr>
        <w:t xml:space="preserve"> </w:t>
      </w:r>
      <w:r>
        <w:rPr>
          <w:rFonts w:eastAsia="" w:cs="Times New Roman" w:ascii="Times New Roman" w:hAnsi="Times New Roman" w:eastAsiaTheme="minorEastAsia"/>
          <w:b/>
          <w:bCs/>
          <w:sz w:val="32"/>
          <w:szCs w:val="32"/>
          <w:lang w:eastAsia="uk-UA"/>
        </w:rPr>
        <w:t xml:space="preserve">Код  </w:t>
      </w:r>
      <w:bookmarkStart w:id="1" w:name="__DdeLink__1412_2522342409"/>
      <w:r>
        <w:rPr>
          <w:rFonts w:cs="Times New Roman" w:ascii="Times New Roman" w:hAnsi="Times New Roman"/>
          <w:b/>
          <w:sz w:val="32"/>
          <w:szCs w:val="32"/>
        </w:rPr>
        <w:t xml:space="preserve">ДК 021:2015: </w:t>
      </w:r>
      <w:bookmarkEnd w:id="1"/>
      <w:r>
        <w:rPr>
          <w:rFonts w:cs="Times New Roman" w:ascii="Times New Roman" w:hAnsi="Times New Roman"/>
          <w:b/>
          <w:color w:val="000000"/>
          <w:sz w:val="32"/>
          <w:szCs w:val="32"/>
          <w:shd w:fill="FFFFFF" w:val="clear"/>
          <w:lang w:eastAsia="zh-CN" w:bidi="uk-UA"/>
        </w:rPr>
        <w:t>71630000-3</w:t>
      </w:r>
      <w:r>
        <w:rPr>
          <w:rFonts w:cs="Times New Roman" w:ascii="Times New Roman" w:hAnsi="Times New Roman"/>
          <w:b/>
          <w:color w:val="777777"/>
          <w:sz w:val="32"/>
          <w:szCs w:val="32"/>
          <w:shd w:fill="FFFFFF" w:val="clear"/>
          <w:lang w:eastAsia="zh-CN" w:bidi="uk-UA"/>
        </w:rPr>
        <w:t> - </w:t>
      </w:r>
      <w:r>
        <w:rPr>
          <w:rFonts w:cs="Times New Roman" w:ascii="Times New Roman" w:hAnsi="Times New Roman"/>
          <w:b/>
          <w:color w:val="000000"/>
          <w:sz w:val="32"/>
          <w:szCs w:val="32"/>
          <w:shd w:fill="FFFFFF" w:val="clear"/>
          <w:lang w:eastAsia="zh-CN" w:bidi="uk-UA"/>
        </w:rPr>
        <w:t>Послуги з технічного огляду та</w:t>
      </w:r>
      <w:r>
        <w:rPr>
          <w:rFonts w:cs="Times New Roman" w:ascii="Times New Roman" w:hAnsi="Times New Roman"/>
          <w:b/>
          <w:bCs/>
          <w:iCs/>
          <w:color w:val="000000"/>
          <w:sz w:val="32"/>
          <w:szCs w:val="32"/>
          <w:shd w:fill="FFFFFF" w:val="clear"/>
          <w:lang w:eastAsia="zh-CN" w:bidi="uk-UA"/>
        </w:rPr>
        <w:t xml:space="preserve"> випробовувань</w:t>
      </w:r>
    </w:p>
    <w:p>
      <w:pPr>
        <w:pStyle w:val="Normal"/>
        <w:numPr>
          <w:ilvl w:val="0"/>
          <w:numId w:val="0"/>
        </w:numPr>
        <w:spacing w:lineRule="auto" w:line="240" w:before="0" w:after="0"/>
        <w:ind w:left="0" w:firstLine="426"/>
        <w:jc w:val="center"/>
        <w:outlineLvl w:val="0"/>
        <w:rPr>
          <w:rFonts w:ascii="Times New Roman" w:hAnsi="Times New Roman"/>
          <w:b/>
          <w:b/>
          <w:bCs/>
          <w:i/>
          <w:i/>
          <w:iCs/>
          <w:sz w:val="30"/>
          <w:szCs w:val="30"/>
        </w:rPr>
      </w:pPr>
      <w:r>
        <w:rPr>
          <w:rFonts w:ascii="Times New Roman" w:hAnsi="Times New Roman"/>
          <w:b/>
          <w:bCs/>
          <w:i/>
          <w:iCs/>
          <w:sz w:val="30"/>
          <w:szCs w:val="30"/>
        </w:rPr>
      </w:r>
    </w:p>
    <w:p>
      <w:pPr>
        <w:pStyle w:val="Normal"/>
        <w:numPr>
          <w:ilvl w:val="0"/>
          <w:numId w:val="0"/>
        </w:numPr>
        <w:spacing w:lineRule="auto" w:line="240"/>
        <w:ind w:left="0" w:firstLine="426"/>
        <w:jc w:val="center"/>
        <w:outlineLvl w:val="0"/>
        <w:rPr>
          <w:rFonts w:ascii="Times New Roman" w:hAnsi="Times New Roman"/>
          <w:b/>
          <w:b/>
          <w:bCs/>
          <w:i/>
          <w:i/>
          <w:iCs/>
          <w:sz w:val="30"/>
          <w:szCs w:val="30"/>
        </w:rPr>
      </w:pPr>
      <w:r>
        <w:rPr>
          <w:rFonts w:ascii="Times New Roman" w:hAnsi="Times New Roman"/>
          <w:b/>
          <w:bCs/>
          <w:i/>
          <w:iCs/>
          <w:sz w:val="30"/>
          <w:szCs w:val="30"/>
        </w:rPr>
      </w:r>
    </w:p>
    <w:p>
      <w:pPr>
        <w:pStyle w:val="1"/>
        <w:spacing w:lineRule="auto" w:line="240" w:before="0" w:after="0"/>
        <w:jc w:val="center"/>
        <w:textAlignment w:val="baseline"/>
        <w:rPr>
          <w:rFonts w:ascii="Times New Roman" w:hAnsi="Times New Roman" w:eastAsia="Times New Roman"/>
          <w:b w:val="false"/>
          <w:b w:val="false"/>
          <w:color w:val="auto"/>
        </w:rPr>
      </w:pPr>
      <w:r>
        <w:rPr>
          <w:rFonts w:eastAsia="Times New Roman" w:ascii="Times New Roman" w:hAnsi="Times New Roman"/>
          <w:b w:val="false"/>
          <w:color w:val="auto"/>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sectPr>
          <w:headerReference w:type="even" r:id="rId2"/>
          <w:headerReference w:type="default" r:id="rId3"/>
          <w:footerReference w:type="even" r:id="rId4"/>
          <w:footerReference w:type="default" r:id="rId5"/>
          <w:type w:val="nextPage"/>
          <w:pgSz w:w="11906" w:h="16838"/>
          <w:pgMar w:left="1417" w:right="1354" w:gutter="0" w:header="225" w:top="367" w:footer="398" w:bottom="455"/>
          <w:pgNumType w:start="1" w:fmt="decimal"/>
          <w:formProt w:val="false"/>
          <w:textDirection w:val="lrTb"/>
          <w:docGrid w:type="default" w:linePitch="100" w:charSpace="12288"/>
        </w:sectPr>
        <w:pStyle w:val="Normal"/>
        <w:spacing w:lineRule="auto" w:line="240"/>
        <w:jc w:val="center"/>
        <w:rPr/>
      </w:pPr>
      <w:r>
        <w:rPr>
          <w:rFonts w:eastAsia="Times New Roman" w:cs="Times New Roman" w:ascii="Times New Roman" w:hAnsi="Times New Roman"/>
          <w:bCs/>
          <w:sz w:val="32"/>
          <w:szCs w:val="32"/>
        </w:rPr>
        <w:t>м. Бердичів – 2024</w:t>
      </w:r>
    </w:p>
    <w:tbl>
      <w:tblPr>
        <w:tblW w:w="996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05"/>
        <w:gridCol w:w="2781"/>
        <w:gridCol w:w="6474"/>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spacing w:lineRule="auto" w:line="240" w:before="96" w:after="160"/>
              <w:jc w:val="both"/>
              <w:rPr/>
            </w:pPr>
            <w:r>
              <w:rPr>
                <w:rFonts w:cs="Times New Roman" w:ascii="Times New Roman" w:hAnsi="Times New Roman"/>
                <w:color w:val="auto"/>
                <w:sz w:val="24"/>
                <w:szCs w:val="24"/>
                <w:lang w:val="uk-UA"/>
              </w:rPr>
              <w:t xml:space="preserve">Тендерну документацію розроблено відповідно до вимог </w:t>
            </w:r>
            <w:hyperlink r:id="rId6">
              <w:r>
                <w:rPr>
                  <w:rFonts w:cs="Times New Roman" w:ascii="Times New Roman" w:hAnsi="Times New Roman"/>
                  <w:color w:val="auto"/>
                  <w:sz w:val="24"/>
                  <w:szCs w:val="24"/>
                  <w:lang w:val="uk-UA"/>
                </w:rPr>
                <w:t>Закону</w:t>
              </w:r>
            </w:hyperlink>
            <w:r>
              <w:rPr>
                <w:rFonts w:cs="Times New Roman" w:ascii="Times New Roman" w:hAnsi="Times New Roman"/>
                <w:color w:val="auto"/>
                <w:sz w:val="24"/>
                <w:szCs w:val="24"/>
                <w:lang w:val="uk-UA"/>
              </w:rPr>
              <w:t xml:space="preserve"> «Про публічні закупівлі»</w:t>
            </w:r>
            <w:r>
              <w:rPr>
                <w:rFonts w:cs="Times New Roman" w:ascii="Times New Roman" w:hAnsi="Times New Roman"/>
                <w:color w:val="auto"/>
                <w:sz w:val="24"/>
                <w:szCs w:val="24"/>
              </w:rPr>
              <w:t>.</w:t>
            </w:r>
            <w:r>
              <w:rPr>
                <w:rFonts w:cs="Times New Roman" w:ascii="Times New Roman" w:hAnsi="Times New Roman"/>
                <w:color w:val="auto"/>
                <w:sz w:val="24"/>
                <w:szCs w:val="24"/>
                <w:lang w:val="uk-UA"/>
              </w:rPr>
              <w:t xml:space="preserve">  Терміни вживаються у значенні, наведеному в Законі.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урахуванням особливостей, визначених Постановою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color w:val="121212"/>
                <w:sz w:val="24"/>
                <w:szCs w:val="24"/>
              </w:rPr>
            </w:pPr>
            <w:r>
              <w:rPr>
                <w:rFonts w:ascii="Times New Roman" w:hAnsi="Times New Roman"/>
                <w:color w:val="121212"/>
                <w:sz w:val="24"/>
                <w:szCs w:val="24"/>
              </w:rPr>
              <w:t>Комунальне некомерційне підприємство «Бердичівська міська лікарня» Бердичівської міської ради</w:t>
            </w:r>
          </w:p>
          <w:p>
            <w:pPr>
              <w:pStyle w:val="Normal"/>
              <w:widowControl w:val="false"/>
              <w:shd w:val="clear" w:color="auto" w:fill="FFFFFF"/>
              <w:spacing w:before="0" w:after="0"/>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Код 01992015</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olor w:val="000000"/>
                <w:sz w:val="24"/>
                <w:szCs w:val="24"/>
                <w:lang w:eastAsia="hi-IN" w:bidi="hi-IN"/>
              </w:rPr>
            </w:pPr>
            <w:r>
              <w:rPr>
                <w:rFonts w:ascii="Times New Roman" w:hAnsi="Times New Roman"/>
                <w:color w:val="000000"/>
                <w:sz w:val="24"/>
                <w:szCs w:val="24"/>
                <w:lang w:eastAsia="hi-IN" w:bidi="hi-IN"/>
              </w:rPr>
              <w:t>Україна, 13300, Житомирська обл., місто Бердичів, вулиця Здоров’я, будинок 1</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Fonts w:ascii="Times New Roman" w:hAnsi="Times New Roman"/>
                <w:color w:val="000000"/>
                <w:sz w:val="24"/>
                <w:szCs w:val="24"/>
                <w:shd w:fill="FFFFFF" w:val="clear"/>
              </w:rPr>
              <w:t>ПІБ:  Семенюк Олена Володимирівна</w:t>
            </w:r>
          </w:p>
          <w:p>
            <w:pPr>
              <w:pStyle w:val="Normal"/>
              <w:widowControl w:val="false"/>
              <w:jc w:val="both"/>
              <w:rPr/>
            </w:pPr>
            <w:r>
              <w:rPr>
                <w:rFonts w:ascii="Times New Roman" w:hAnsi="Times New Roman"/>
                <w:color w:val="000000"/>
                <w:sz w:val="24"/>
                <w:szCs w:val="24"/>
                <w:shd w:fill="FFFFFF" w:val="clear"/>
              </w:rPr>
              <w:t>Посада: фахівець з публічних закупівель, уповноважена особа</w:t>
            </w:r>
          </w:p>
          <w:p>
            <w:pPr>
              <w:pStyle w:val="Normal"/>
              <w:widowControl w:val="false"/>
              <w:jc w:val="both"/>
              <w:rPr/>
            </w:pPr>
            <w:r>
              <w:rPr>
                <w:rFonts w:cs="Times New Roman" w:ascii="Times New Roman" w:hAnsi="Times New Roman"/>
                <w:color w:val="000000"/>
                <w:sz w:val="24"/>
                <w:szCs w:val="24"/>
                <w:shd w:fill="FFFFFF" w:val="clear"/>
              </w:rPr>
              <w:t>13300, Житомирська обл., місто Бердичів, вулиця Здоров'я, будинок 1, тел. +380976962405,</w:t>
            </w:r>
          </w:p>
          <w:p>
            <w:pPr>
              <w:pStyle w:val="Normal"/>
              <w:widowControl w:val="false"/>
              <w:spacing w:before="0" w:after="160"/>
              <w:jc w:val="both"/>
              <w:rPr/>
            </w:pPr>
            <w:r>
              <w:rPr>
                <w:rFonts w:cs="Times New Roman" w:ascii="Times New Roman" w:hAnsi="Times New Roman"/>
                <w:color w:val="000000"/>
                <w:sz w:val="24"/>
                <w:szCs w:val="24"/>
                <w:shd w:fill="FFFFFF" w:val="clear"/>
              </w:rPr>
              <w:t xml:space="preserve">e-mail: </w:t>
            </w:r>
            <w:r>
              <w:rPr>
                <w:rFonts w:cs="Times New Roman" w:ascii="Times New Roman" w:hAnsi="Times New Roman"/>
                <w:color w:val="000000"/>
                <w:sz w:val="24"/>
                <w:szCs w:val="24"/>
                <w:shd w:fill="FFFFFF" w:val="clear"/>
                <w:lang w:val="en-US"/>
              </w:rPr>
              <w:t>bml_zakupivli@ukr.net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732"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hd w:val="clear" w:color="auto" w:fill="FFFFFF"/>
              <w:tabs>
                <w:tab w:val="clear" w:pos="708"/>
                <w:tab w:val="left" w:pos="567" w:leader="none"/>
              </w:tabs>
              <w:spacing w:lineRule="auto" w:line="240" w:before="0" w:after="0"/>
              <w:ind w:left="0" w:right="-426" w:hanging="0"/>
              <w:contextualSpacing/>
              <w:jc w:val="both"/>
              <w:textAlignment w:val="baseline"/>
              <w:outlineLvl w:val="0"/>
              <w:rPr>
                <w:rFonts w:ascii="Times New Roman" w:hAnsi="Times New Roman" w:eastAsia="" w:cs="Times New Roman" w:eastAsiaTheme="minorEastAsia"/>
                <w:b/>
                <w:b/>
                <w:bCs/>
                <w:sz w:val="24"/>
                <w:szCs w:val="24"/>
                <w:lang w:eastAsia="uk-UA"/>
              </w:rPr>
            </w:pPr>
            <w:r>
              <w:rPr>
                <w:rFonts w:eastAsia="Times New Roman" w:cs="Times New Roman" w:ascii="Times New Roman" w:hAnsi="Times New Roman"/>
                <w:b/>
                <w:bCs/>
                <w:sz w:val="24"/>
                <w:szCs w:val="24"/>
              </w:rPr>
              <w:t>П</w:t>
            </w:r>
            <w:r>
              <w:rPr>
                <w:rFonts w:eastAsia="Times New Roman" w:cs="Times New Roman" w:ascii="Times New Roman" w:hAnsi="Times New Roman"/>
                <w:b/>
                <w:bCs/>
                <w:color w:val="000000"/>
                <w:sz w:val="24"/>
                <w:szCs w:val="24"/>
              </w:rPr>
              <w:t xml:space="preserve">ослуги </w:t>
            </w:r>
            <w:r>
              <w:rPr>
                <w:rFonts w:eastAsia="Times New Roman" w:cs="Times New Roman" w:ascii="Times New Roman" w:hAnsi="Times New Roman"/>
                <w:b/>
                <w:bCs/>
                <w:sz w:val="24"/>
                <w:szCs w:val="24"/>
              </w:rPr>
              <w:t xml:space="preserve">з </w:t>
            </w:r>
            <w:r>
              <w:rPr>
                <w:rFonts w:eastAsia="" w:cs="Times New Roman" w:ascii="Times New Roman" w:hAnsi="Times New Roman" w:eastAsiaTheme="minorEastAsia"/>
                <w:b/>
                <w:bCs/>
                <w:sz w:val="24"/>
                <w:szCs w:val="24"/>
                <w:lang w:eastAsia="uk-UA"/>
              </w:rPr>
              <w:t>повірки та калібрування засобів</w:t>
            </w:r>
          </w:p>
          <w:p>
            <w:pPr>
              <w:pStyle w:val="Normal"/>
              <w:widowControl w:val="false"/>
              <w:numPr>
                <w:ilvl w:val="0"/>
                <w:numId w:val="0"/>
              </w:numPr>
              <w:shd w:val="clear" w:color="auto" w:fill="FFFFFF"/>
              <w:tabs>
                <w:tab w:val="clear" w:pos="708"/>
                <w:tab w:val="left" w:pos="567" w:leader="none"/>
              </w:tabs>
              <w:spacing w:lineRule="auto" w:line="240" w:before="0" w:after="0"/>
              <w:ind w:left="0" w:right="-426" w:hanging="0"/>
              <w:contextualSpacing/>
              <w:jc w:val="both"/>
              <w:textAlignment w:val="baseline"/>
              <w:outlineLvl w:val="0"/>
              <w:rPr>
                <w:rFonts w:ascii="Times New Roman" w:hAnsi="Times New Roman" w:eastAsia="" w:cs="Times New Roman" w:eastAsiaTheme="minorEastAsia"/>
                <w:b/>
                <w:b/>
                <w:bCs/>
                <w:sz w:val="24"/>
                <w:szCs w:val="24"/>
                <w:lang w:eastAsia="uk-UA"/>
              </w:rPr>
            </w:pPr>
            <w:r>
              <w:rPr>
                <w:rFonts w:eastAsia="" w:cs="Times New Roman" w:ascii="Times New Roman" w:hAnsi="Times New Roman" w:eastAsiaTheme="minorEastAsia"/>
                <w:b/>
                <w:bCs/>
                <w:sz w:val="24"/>
                <w:szCs w:val="24"/>
                <w:lang w:eastAsia="uk-UA"/>
              </w:rPr>
              <w:t>вимірювальної техніки.</w:t>
            </w:r>
          </w:p>
          <w:p>
            <w:pPr>
              <w:pStyle w:val="Normal"/>
              <w:widowControl w:val="false"/>
              <w:numPr>
                <w:ilvl w:val="0"/>
                <w:numId w:val="0"/>
              </w:numPr>
              <w:shd w:val="clear" w:color="auto" w:fill="FFFFFF"/>
              <w:tabs>
                <w:tab w:val="clear" w:pos="708"/>
                <w:tab w:val="left" w:pos="567" w:leader="none"/>
              </w:tabs>
              <w:spacing w:lineRule="auto" w:line="240" w:before="0" w:after="0"/>
              <w:ind w:left="0" w:right="-426" w:hanging="0"/>
              <w:contextualSpacing/>
              <w:jc w:val="both"/>
              <w:textAlignment w:val="baseline"/>
              <w:outlineLvl w:val="0"/>
              <w:rPr>
                <w:rFonts w:ascii="Times New Roman" w:hAnsi="Times New Roman" w:cs="Times New Roman"/>
                <w:b/>
                <w:b/>
                <w:color w:val="000000"/>
                <w:sz w:val="24"/>
                <w:szCs w:val="24"/>
                <w:shd w:fill="FFFFFF" w:val="clear"/>
                <w:lang w:eastAsia="zh-CN" w:bidi="uk-UA"/>
              </w:rPr>
            </w:pPr>
            <w:r>
              <w:rPr>
                <w:rFonts w:eastAsia="" w:cs="Times New Roman" w:ascii="Times New Roman" w:hAnsi="Times New Roman" w:eastAsiaTheme="minorEastAsia"/>
                <w:b/>
                <w:bCs/>
                <w:sz w:val="24"/>
                <w:szCs w:val="24"/>
                <w:lang w:eastAsia="uk-UA"/>
              </w:rPr>
              <w:t xml:space="preserve">Код  </w:t>
            </w:r>
            <w:r>
              <w:rPr>
                <w:rFonts w:cs="Times New Roman" w:ascii="Times New Roman" w:hAnsi="Times New Roman"/>
                <w:b/>
                <w:sz w:val="24"/>
                <w:szCs w:val="24"/>
              </w:rPr>
              <w:t xml:space="preserve">ДК 021:2015: </w:t>
            </w:r>
            <w:r>
              <w:rPr>
                <w:rFonts w:cs="Times New Roman" w:ascii="Times New Roman" w:hAnsi="Times New Roman"/>
                <w:b/>
                <w:color w:val="000000"/>
                <w:sz w:val="24"/>
                <w:szCs w:val="24"/>
                <w:shd w:fill="FFFFFF" w:val="clear"/>
                <w:lang w:eastAsia="zh-CN" w:bidi="uk-UA"/>
              </w:rPr>
              <w:t>71630000-3</w:t>
            </w:r>
            <w:r>
              <w:rPr>
                <w:rFonts w:cs="Times New Roman" w:ascii="Times New Roman" w:hAnsi="Times New Roman"/>
                <w:b/>
                <w:color w:val="777777"/>
                <w:sz w:val="24"/>
                <w:szCs w:val="24"/>
                <w:shd w:fill="FFFFFF" w:val="clear"/>
                <w:lang w:eastAsia="zh-CN" w:bidi="uk-UA"/>
              </w:rPr>
              <w:t> - </w:t>
            </w:r>
            <w:r>
              <w:rPr>
                <w:rFonts w:cs="Times New Roman" w:ascii="Times New Roman" w:hAnsi="Times New Roman"/>
                <w:b/>
                <w:color w:val="000000"/>
                <w:sz w:val="24"/>
                <w:szCs w:val="24"/>
                <w:shd w:fill="FFFFFF" w:val="clear"/>
                <w:lang w:eastAsia="zh-CN" w:bidi="uk-UA"/>
              </w:rPr>
              <w:t>Послуги з технічного</w:t>
            </w:r>
          </w:p>
          <w:p>
            <w:pPr>
              <w:pStyle w:val="Normal"/>
              <w:widowControl w:val="false"/>
              <w:numPr>
                <w:ilvl w:val="0"/>
                <w:numId w:val="0"/>
              </w:numPr>
              <w:shd w:val="clear" w:color="auto" w:fill="FFFFFF"/>
              <w:tabs>
                <w:tab w:val="clear" w:pos="708"/>
                <w:tab w:val="left" w:pos="567" w:leader="none"/>
              </w:tabs>
              <w:spacing w:lineRule="auto" w:line="240" w:before="0" w:after="0"/>
              <w:ind w:left="0" w:right="-426" w:hanging="0"/>
              <w:contextualSpacing/>
              <w:jc w:val="both"/>
              <w:textAlignment w:val="baseline"/>
              <w:outlineLvl w:val="0"/>
              <w:rPr>
                <w:rFonts w:ascii="Times New Roman" w:hAnsi="Times New Roman" w:eastAsia="" w:cs="Times New Roman" w:eastAsiaTheme="minorEastAsia"/>
                <w:b/>
                <w:b/>
                <w:bCs/>
                <w:sz w:val="24"/>
                <w:szCs w:val="24"/>
                <w:lang w:eastAsia="uk-UA"/>
              </w:rPr>
            </w:pPr>
            <w:r>
              <w:rPr>
                <w:rFonts w:cs="Times New Roman" w:ascii="Times New Roman" w:hAnsi="Times New Roman"/>
                <w:b/>
                <w:color w:val="000000"/>
                <w:sz w:val="24"/>
                <w:szCs w:val="24"/>
                <w:shd w:fill="FFFFFF" w:val="clear"/>
                <w:lang w:eastAsia="zh-CN" w:bidi="uk-UA"/>
              </w:rPr>
              <w:t>огляду та</w:t>
            </w:r>
            <w:r>
              <w:rPr>
                <w:rFonts w:cs="Times New Roman" w:ascii="Times New Roman" w:hAnsi="Times New Roman"/>
                <w:b/>
                <w:bCs/>
                <w:iCs/>
                <w:color w:val="000000"/>
                <w:sz w:val="24"/>
                <w:szCs w:val="24"/>
                <w:shd w:fill="FFFFFF" w:val="clear"/>
                <w:lang w:eastAsia="zh-CN" w:bidi="uk-UA"/>
              </w:rPr>
              <w:t xml:space="preserve"> випробовувань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Закупівля здійснюється щодо предмета закупівлі в цілому.</w:t>
            </w:r>
          </w:p>
        </w:tc>
      </w:tr>
      <w:tr>
        <w:trPr>
          <w:trHeight w:val="274"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місце, кількість, обсяг поставки товарів (надання послуг, виконання робіт)</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contextualSpacing/>
              <w:jc w:val="both"/>
              <w:rPr/>
            </w:pPr>
            <w:r>
              <w:rPr>
                <w:rFonts w:cs="Times New Roman" w:ascii="Times New Roman" w:hAnsi="Times New Roman"/>
                <w:sz w:val="24"/>
                <w:szCs w:val="24"/>
                <w:lang w:eastAsia="en-US"/>
              </w:rPr>
              <w:t xml:space="preserve">Місце: </w:t>
            </w:r>
            <w:r>
              <w:rPr>
                <w:rFonts w:cs="Times New Roman" w:ascii="Times New Roman" w:hAnsi="Times New Roman"/>
                <w:color w:val="000000"/>
                <w:sz w:val="24"/>
                <w:szCs w:val="24"/>
                <w:shd w:fill="FFFFFF" w:val="clear"/>
                <w:lang w:eastAsia="uk-UA"/>
              </w:rPr>
              <w:t>13300, Житомирська обл., м. Бердичів, вул. Здоров'я,1</w:t>
            </w:r>
          </w:p>
          <w:p>
            <w:pPr>
              <w:pStyle w:val="Normal"/>
              <w:widowControl w:val="false"/>
              <w:spacing w:before="0" w:after="160"/>
              <w:ind w:right="120" w:hanging="0"/>
              <w:jc w:val="both"/>
              <w:rPr>
                <w:highlight w:val="white"/>
              </w:rPr>
            </w:pPr>
            <w:r>
              <w:rPr>
                <w:rFonts w:cs="Times New Roman" w:ascii="Times New Roman" w:hAnsi="Times New Roman"/>
                <w:sz w:val="24"/>
                <w:szCs w:val="24"/>
                <w:highlight w:val="white"/>
              </w:rPr>
              <w:t xml:space="preserve">Кількість: </w:t>
            </w:r>
            <w:r>
              <w:rPr>
                <w:rFonts w:cs="Times New Roman" w:ascii="Times New Roman" w:hAnsi="Times New Roman"/>
                <w:color w:val="000000"/>
                <w:sz w:val="24"/>
                <w:szCs w:val="24"/>
                <w:highlight w:val="white"/>
              </w:rPr>
              <w:t>відповідно до Додатку № 2 до тендерної документації.</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строки поставки товарів, виконання робіт, надання послуг</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Fonts w:ascii="Times New Roman" w:hAnsi="Times New Roman"/>
                <w:sz w:val="24"/>
                <w:szCs w:val="24"/>
                <w:highlight w:val="white"/>
              </w:rPr>
              <w:t>До 31 грудня 2024 року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крім:</w:t>
            </w:r>
          </w:p>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333333"/>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w:t>
            </w:r>
            <w:r>
              <w:rPr>
                <w:rFonts w:eastAsia="Times New Roman" w:cs="Times New Roman" w:ascii="Times New Roman" w:hAnsi="Times New Roman"/>
                <w:sz w:val="24"/>
                <w:szCs w:val="24"/>
              </w:rPr>
              <w:t xml:space="preserve"> ;</w:t>
            </w:r>
          </w:p>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ascii="Times New Roman" w:hAnsi="Times New Roman"/>
                <w:color w:val="333333"/>
                <w:sz w:val="24"/>
              </w:rPr>
              <w:t>юридичною особою, утвореною та зареєстрованою відповідно до законодавства Російської Федерації/Республіки Білорусь/Ісламської Республіки Іран</w:t>
            </w:r>
            <w:r>
              <w:rPr>
                <w:rFonts w:eastAsia="Times New Roman" w:cs="Times New Roman" w:ascii="Times New Roman" w:hAnsi="Times New Roman"/>
                <w:sz w:val="24"/>
                <w:szCs w:val="24"/>
              </w:rPr>
              <w:t>;</w:t>
            </w:r>
          </w:p>
          <w:p>
            <w:pPr>
              <w:pStyle w:val="Normal"/>
              <w:widowControl w:val="false"/>
              <w:spacing w:lineRule="auto" w:line="240" w:before="0" w:after="0"/>
              <w:ind w:right="140" w:hanging="0"/>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 xml:space="preserve">- </w:t>
            </w:r>
            <w:r>
              <w:rPr>
                <w:rFonts w:ascii="Times New Roman" w:hAnsi="Times New Roman"/>
                <w:color w:val="333333"/>
                <w:sz w:val="24"/>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t xml:space="preserve"> </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54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spacing w:before="0" w:after="0"/>
              <w:jc w:val="both"/>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rPr>
              <w:instrText> HYPERLINK "https://zakon.rada.gov.ua/laws/show/922-19" \l "n1261"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пункті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технічну специфікацію та інші документи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spacing w:before="0" w:after="0"/>
              <w:jc w:val="both"/>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spacing w:before="0" w:after="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before="0" w:after="0"/>
              <w:jc w:val="both"/>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before="0" w:after="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Приклади формальних помилок: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before="0" w:after="0"/>
              <w:jc w:val="both"/>
              <w:rPr>
                <w:rFonts w:ascii="Times New Roman" w:hAnsi="Times New Roman" w:eastAsia="Times New Roman" w:cs="Times New Roman"/>
                <w:sz w:val="24"/>
                <w:szCs w:val="24"/>
              </w:rPr>
            </w:pPr>
            <w:bookmarkStart w:id="2" w:name="_heading=h.3znysh7"/>
            <w:bookmarkEnd w:id="2"/>
            <w:r>
              <w:rPr>
                <w:rFonts w:eastAsia="Times New Roman" w:cs="Times New Roman" w:ascii="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документи мають бути чіткими та розбірливими для читання;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Винятки: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before="0" w:after="0"/>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before="0" w:after="0"/>
              <w:ind w:left="40" w:hanging="20"/>
              <w:jc w:val="both"/>
              <w:rPr/>
            </w:pPr>
            <w:r>
              <w:rPr>
                <w:rFonts w:eastAsia="Times New Roman" w:cs="Times New Roman" w:ascii="Times New Roman" w:hAnsi="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before="0" w:after="0"/>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before="0" w:after="0"/>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0"/>
              <w:jc w:val="both"/>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bookmarkStart w:id="6" w:name="_heading=h.tyjcwt"/>
            <w:bookmarkEnd w:id="6"/>
            <w:r>
              <w:rPr>
                <w:rFonts w:eastAsia="Times New Roman" w:cs="Times New Roman" w:ascii="Times New Roman" w:hAnsi="Times New Roman"/>
                <w:b/>
                <w:sz w:val="24"/>
                <w:szCs w:val="24"/>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before="0" w:after="0"/>
              <w:jc w:val="both"/>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відхилити таку вимогу, не втрачаючи при цьому наданого ним забезпечення тендерної пропозиції;</w:t>
            </w:r>
          </w:p>
          <w:p>
            <w:pPr>
              <w:pStyle w:val="Normal"/>
              <w:widowControl w:val="false"/>
              <w:spacing w:before="0" w:after="0"/>
              <w:jc w:val="both"/>
              <w:rPr/>
            </w:pPr>
            <w:r>
              <w:rPr>
                <w:rFonts w:eastAsia="Times New Roman" w:cs="Times New Roman" w:ascii="Times New Roman" w:hAnsi="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120" w:hanging="0"/>
              <w:jc w:val="both"/>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spacing w:before="0" w:after="0"/>
              <w:ind w:right="120" w:hanging="0"/>
              <w:jc w:val="both"/>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0"/>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0" w:after="0"/>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ind w:firstLine="567"/>
              <w:jc w:val="both"/>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0" w:after="0"/>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0"/>
              <w:jc w:val="both"/>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7">
              <w:r>
                <w:rPr>
                  <w:rFonts w:eastAsia="Times New Roman" w:cs="Times New Roman" w:ascii="Times New Roman" w:hAnsi="Times New Roman"/>
                  <w:sz w:val="24"/>
                  <w:szCs w:val="24"/>
                </w:rPr>
                <w:t xml:space="preserve"> пунктом третім </w:t>
              </w:r>
            </w:hyperlink>
            <w:hyperlink r:id="rId8">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left="40" w:right="120" w:hanging="0"/>
              <w:jc w:val="both"/>
              <w:rPr>
                <w:color w:val="000000"/>
              </w:rPr>
            </w:pPr>
            <w:r>
              <w:rPr>
                <w:rFonts w:eastAsia="Times New Roman" w:cs="Times New Roman" w:ascii="Times New Roman" w:hAnsi="Times New Roman"/>
                <w:color w:val="000000"/>
                <w:sz w:val="24"/>
                <w:szCs w:val="24"/>
                <w:highlight w:val="white"/>
              </w:rPr>
              <w:t>Кінцевий строк подання тендерних пропозицій —</w:t>
            </w:r>
          </w:p>
          <w:p>
            <w:pPr>
              <w:pStyle w:val="Normal"/>
              <w:widowControl w:val="false"/>
              <w:spacing w:before="0" w:after="0"/>
              <w:ind w:left="40" w:right="120" w:hanging="0"/>
              <w:jc w:val="both"/>
              <w:rPr>
                <w:color w:val="000000"/>
              </w:rPr>
            </w:pPr>
            <w:r>
              <w:rPr>
                <w:rFonts w:eastAsia="Times New Roman" w:cs="Times New Roman" w:ascii="Times New Roman" w:hAnsi="Times New Roman"/>
                <w:b/>
                <w:bCs/>
                <w:color w:val="000000"/>
                <w:sz w:val="24"/>
                <w:szCs w:val="24"/>
                <w:highlight w:val="white"/>
              </w:rPr>
              <w:t>2</w:t>
            </w:r>
            <w:r>
              <w:rPr>
                <w:rFonts w:eastAsia="Times New Roman" w:cs="Times New Roman" w:ascii="Times New Roman" w:hAnsi="Times New Roman"/>
                <w:b/>
                <w:bCs/>
                <w:color w:val="000000"/>
                <w:sz w:val="24"/>
                <w:szCs w:val="24"/>
                <w:highlight w:val="white"/>
                <w:lang w:val="en-US"/>
              </w:rPr>
              <w:t>1</w:t>
            </w:r>
            <w:r>
              <w:rPr>
                <w:rFonts w:eastAsia="Times New Roman" w:cs="Times New Roman" w:ascii="Times New Roman" w:hAnsi="Times New Roman"/>
                <w:b/>
                <w:bCs/>
                <w:color w:val="000000"/>
                <w:sz w:val="24"/>
                <w:szCs w:val="24"/>
                <w:highlight w:val="white"/>
              </w:rPr>
              <w:t xml:space="preserve"> березня</w:t>
            </w:r>
            <w:r>
              <w:rPr>
                <w:rFonts w:eastAsia="Times New Roman" w:cs="Times New Roman" w:ascii="Times New Roman" w:hAnsi="Times New Roman"/>
                <w:b/>
                <w:color w:val="000000"/>
                <w:sz w:val="24"/>
                <w:szCs w:val="24"/>
                <w:shd w:fill="FFFFFF" w:val="clear"/>
              </w:rPr>
              <w:t xml:space="preserve"> 2024 року, 00:00 год.</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Отримана тендерна пропозиція вносит</w:t>
            </w:r>
            <w:r>
              <w:rPr>
                <w:rFonts w:eastAsia="Times New Roman" w:cs="Times New Roman" w:ascii="Times New Roman" w:hAnsi="Times New Roman"/>
                <w:sz w:val="24"/>
                <w:szCs w:val="24"/>
              </w:rPr>
              <w:t>ься автоматично до реєстру отриманих тендерних пропозицій.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0"/>
              <w:jc w:val="both"/>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0"/>
              <w:jc w:val="both"/>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before="0" w:after="0"/>
              <w:jc w:val="both"/>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spacing w:before="0" w:after="0"/>
              <w:jc w:val="both"/>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spacing w:before="0" w:after="0"/>
              <w:jc w:val="both"/>
              <w:rPr/>
            </w:pPr>
            <w:r>
              <w:rPr>
                <w:rFonts w:eastAsia="Times New Roman" w:cs="Times New Roman" w:ascii="Times New Roman" w:hAnsi="Times New Roman"/>
                <w:sz w:val="24"/>
                <w:szCs w:val="24"/>
              </w:rPr>
              <w:t>До розгляду не приймається</w:t>
            </w:r>
            <w:r>
              <w:rPr>
                <w:rFonts w:eastAsia="Times New Roman" w:cs="Times New Roman" w:ascii="Times New Roman" w:hAnsi="Times New Roman"/>
                <w:sz w:val="24"/>
                <w:szCs w:val="24"/>
                <w:u w:val="single"/>
              </w:rPr>
              <w:t xml:space="preserve"> </w:t>
            </w:r>
            <w:r>
              <w:rPr>
                <w:rFonts w:eastAsia="Times New Roman" w:cs="Times New Roman" w:ascii="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pPr>
              <w:pStyle w:val="Normal"/>
              <w:widowControl w:val="false"/>
              <w:spacing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w:t>
            </w:r>
            <w:r>
              <w:rPr>
                <w:rFonts w:eastAsia="Times New Roman" w:cs="Times New Roman" w:ascii="Times New Roman" w:hAnsi="Times New Roman"/>
                <w:sz w:val="24"/>
                <w:szCs w:val="24"/>
                <w:lang w:val="ru-RU"/>
              </w:rPr>
              <w:t xml:space="preserve"> 0,5</w:t>
            </w:r>
            <w:r>
              <w:rPr>
                <w:rFonts w:eastAsia="Times New Roman" w:cs="Times New Roman" w:ascii="Times New Roman" w:hAnsi="Times New Roman"/>
                <w:sz w:val="24"/>
                <w:szCs w:val="24"/>
              </w:rPr>
              <w:t>%.</w:t>
            </w:r>
          </w:p>
          <w:p>
            <w:pPr>
              <w:pStyle w:val="Normal"/>
              <w:widowControl w:val="false"/>
              <w:shd w:val="clear" w:color="auto" w:fill="FFFFFF"/>
              <w:spacing w:before="0" w:after="0"/>
              <w:jc w:val="both"/>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0"/>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spacing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before="0" w:after="0"/>
              <w:jc w:val="both"/>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before="0" w:after="0"/>
              <w:jc w:val="both"/>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Pr>
                <w:rFonts w:ascii="Times New Roman" w:hAnsi="Times New Roman"/>
                <w:color w:val="333333"/>
                <w:sz w:val="24"/>
              </w:rPr>
              <w:t>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t xml:space="preserve"> </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є  </w:t>
            </w:r>
            <w:r>
              <w:rPr>
                <w:rFonts w:ascii="Times New Roman" w:hAnsi="Times New Roman"/>
                <w:color w:val="333333"/>
                <w:sz w:val="24"/>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s="Times New Roman" w:ascii="Times New Roman" w:hAnsi="Times New Roman"/>
                <w:sz w:val="24"/>
                <w:szCs w:val="24"/>
              </w:rPr>
              <w:t>;</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eastAsia="ar-SA"/>
              </w:rPr>
              <w:t>Дії замовника при відмові переможця процедури закупівлі підписати договір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ind w:firstLine="31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замовнику підписаного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ar-SA"/>
              </w:rPr>
              <w:t>Якщо учасник-переможець відмовився від підписання договору, то повинен надати на фірмовому бланку Повідомлення про відмову від підписання договору з зазначенням предмета та номера ідентифікатора закупівлі, а також обґрунтування об’єктивних обставин.</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spacing w:lineRule="auto" w:line="276"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7" w:name="_heading=h.2s8eyo1"/>
      <w:bookmarkStart w:id="8" w:name="_heading=h.2s8eyo1"/>
      <w:bookmarkEnd w:id="8"/>
      <w:r>
        <w:br w:type="page"/>
      </w:r>
    </w:p>
    <w:p>
      <w:pPr>
        <w:pStyle w:val="Normal"/>
        <w:jc w:val="right"/>
        <w:rPr/>
      </w:pPr>
      <w:r>
        <w:rPr>
          <w:rFonts w:eastAsia="Times New Roman" w:cs="Times New Roman" w:ascii="Times New Roman" w:hAnsi="Times New Roman"/>
          <w:b/>
        </w:rPr>
        <w:t>ДОДАТОК 1</w:t>
      </w:r>
    </w:p>
    <w:p>
      <w:pPr>
        <w:pStyle w:val="Normal"/>
        <w:ind w:left="5660" w:firstLine="700"/>
        <w:jc w:val="right"/>
        <w:rPr/>
      </w:pPr>
      <w:r>
        <w:rPr>
          <w:rFonts w:eastAsia="Times New Roman" w:cs="Times New Roman" w:ascii="Times New Roman" w:hAnsi="Times New Roman"/>
          <w:i/>
        </w:rPr>
        <w:t>до тендерної документації</w:t>
      </w:r>
    </w:p>
    <w:p>
      <w:pPr>
        <w:pStyle w:val="Normal"/>
        <w:numPr>
          <w:ilvl w:val="0"/>
          <w:numId w:val="3"/>
        </w:numPr>
        <w:shd w:val="clear" w:color="auto" w:fill="FFFFFF"/>
        <w:ind w:left="502" w:hanging="360"/>
        <w:jc w:val="both"/>
        <w:rPr/>
      </w:pPr>
      <w:r>
        <w:rPr>
          <w:rFonts w:eastAsia="Times New Roman" w:cs="Times New Roman" w:ascii="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60" w:type="dxa"/>
        <w:jc w:val="center"/>
        <w:tblInd w:w="0" w:type="dxa"/>
        <w:tblLayout w:type="fixed"/>
        <w:tblCellMar>
          <w:top w:w="100" w:type="dxa"/>
          <w:left w:w="100" w:type="dxa"/>
          <w:bottom w:w="100" w:type="dxa"/>
          <w:right w:w="100" w:type="dxa"/>
        </w:tblCellMar>
        <w:tblLook w:firstRow="0" w:noVBand="0" w:lastRow="0" w:firstColumn="0" w:lastColumn="0" w:noHBand="0" w:val="0000"/>
      </w:tblPr>
      <w:tblGrid>
        <w:gridCol w:w="493"/>
        <w:gridCol w:w="2270"/>
        <w:gridCol w:w="7497"/>
      </w:tblGrid>
      <w:tr>
        <w:trPr>
          <w:trHeight w:val="690" w:hRule="atLeast"/>
        </w:trPr>
        <w:tc>
          <w:tcPr>
            <w:tcW w:w="49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з/п</w:t>
            </w:r>
          </w:p>
        </w:tc>
        <w:tc>
          <w:tcPr>
            <w:tcW w:w="22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Кваліфікаційні критерії</w:t>
            </w:r>
          </w:p>
        </w:tc>
        <w:tc>
          <w:tcPr>
            <w:tcW w:w="749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Документи та інформація, які підтверджують відповідність Учасника кваліфікаційним критеріям**</w:t>
            </w:r>
          </w:p>
        </w:tc>
      </w:tr>
      <w:tr>
        <w:trPr>
          <w:trHeight w:val="295" w:hRule="atLeast"/>
        </w:trPr>
        <w:tc>
          <w:tcPr>
            <w:tcW w:w="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rFonts w:eastAsia="Times New Roman" w:cs="Times New Roman" w:ascii="Times New Roman" w:hAnsi="Times New Roman"/>
                <w:sz w:val="24"/>
                <w:szCs w:val="24"/>
              </w:rPr>
              <w:t>1</w:t>
            </w:r>
          </w:p>
        </w:tc>
        <w:tc>
          <w:tcPr>
            <w:tcW w:w="22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pPr>
            <w:r>
              <w:rPr>
                <w:rFonts w:eastAsia="Times New Roman" w:cs="Times New Roman"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4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8"/>
              </w:numPr>
              <w:suppressAutoHyphens w:val="false"/>
              <w:spacing w:lineRule="auto" w:line="276" w:before="0" w:after="0"/>
              <w:ind w:left="644" w:hanging="644"/>
              <w:contextualSpacing/>
              <w:rPr>
                <w:rFonts w:ascii="Times New Roman" w:hAnsi="Times New Roman" w:cs="Times New Roman"/>
                <w:spacing w:val="-4"/>
                <w:sz w:val="24"/>
                <w:szCs w:val="24"/>
                <w:lang w:eastAsia="uk-UA"/>
              </w:rPr>
            </w:pPr>
            <w:r>
              <w:rPr>
                <w:rFonts w:cs="Times New Roman" w:ascii="Times New Roman" w:hAnsi="Times New Roman"/>
                <w:spacing w:val="-4"/>
                <w:sz w:val="24"/>
                <w:szCs w:val="24"/>
                <w:lang w:eastAsia="uk-UA"/>
              </w:rPr>
              <w:t>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uppressAutoHyphens w:val="false"/>
              <w:spacing w:lineRule="auto" w:line="276" w:before="0" w:after="0"/>
              <w:ind w:firstLine="284"/>
              <w:rPr>
                <w:rFonts w:ascii="Times New Roman" w:hAnsi="Times New Roman" w:cs="Times New Roman"/>
                <w:spacing w:val="-4"/>
                <w:sz w:val="24"/>
                <w:szCs w:val="24"/>
                <w:lang w:val="ru-RU" w:eastAsia="en-US"/>
              </w:rPr>
            </w:pPr>
            <w:r>
              <w:rPr>
                <w:rFonts w:cs="Times New Roman" w:ascii="Times New Roman" w:hAnsi="Times New Roman"/>
                <w:spacing w:val="-4"/>
                <w:sz w:val="24"/>
                <w:szCs w:val="24"/>
                <w:lang w:val="ru-RU" w:eastAsia="en-US"/>
              </w:rPr>
              <w:t xml:space="preserve">1.1. </w:t>
            </w:r>
            <w:r>
              <w:rPr>
                <w:rFonts w:cs="Times New Roman" w:ascii="Times New Roman" w:hAnsi="Times New Roman"/>
                <w:b/>
                <w:spacing w:val="-4"/>
                <w:sz w:val="24"/>
                <w:szCs w:val="24"/>
                <w:lang w:val="ru-RU" w:eastAsia="en-US"/>
              </w:rPr>
              <w:t>Довідку</w:t>
            </w:r>
            <w:r>
              <w:rPr>
                <w:rFonts w:cs="Times New Roman" w:ascii="Times New Roman" w:hAnsi="Times New Roman"/>
                <w:spacing w:val="-4"/>
                <w:sz w:val="24"/>
                <w:szCs w:val="24"/>
                <w:lang w:val="ru-RU" w:eastAsia="en-US"/>
              </w:rPr>
              <w:t xml:space="preserve"> </w:t>
            </w:r>
            <w:r>
              <w:rPr>
                <w:rFonts w:cs="Times New Roman" w:ascii="Times New Roman" w:hAnsi="Times New Roman"/>
                <w:i/>
                <w:spacing w:val="-4"/>
                <w:sz w:val="24"/>
                <w:szCs w:val="24"/>
                <w:lang w:val="ru-RU" w:eastAsia="en-US"/>
              </w:rPr>
              <w:t>(складена в довільній формі)</w:t>
            </w:r>
            <w:r>
              <w:rPr>
                <w:rFonts w:cs="Times New Roman" w:ascii="Times New Roman" w:hAnsi="Times New Roman"/>
                <w:spacing w:val="-4"/>
                <w:sz w:val="24"/>
                <w:szCs w:val="24"/>
                <w:lang w:val="ru-RU" w:eastAsia="en-US"/>
              </w:rPr>
              <w:t xml:space="preserve"> про наявність в учасника досвіду виконання аналогічного(их) за предметом закупівлі договору(ів) в період 2021-2023 років (із зазначенням предмета договору, номеру, дати укладання, адреси, контактного телефону, найменування замовника).</w:t>
            </w:r>
          </w:p>
          <w:p>
            <w:pPr>
              <w:pStyle w:val="Normal"/>
              <w:widowControl w:val="false"/>
              <w:suppressAutoHyphens w:val="false"/>
              <w:spacing w:lineRule="auto" w:line="276" w:before="0" w:after="0"/>
              <w:ind w:firstLine="284"/>
              <w:rPr>
                <w:rFonts w:ascii="Times New Roman" w:hAnsi="Times New Roman" w:cs="Times New Roman"/>
                <w:spacing w:val="-4"/>
                <w:sz w:val="24"/>
                <w:szCs w:val="24"/>
                <w:lang w:val="ru-RU" w:eastAsia="en-US"/>
              </w:rPr>
            </w:pPr>
            <w:r>
              <w:rPr>
                <w:rFonts w:cs="Times New Roman" w:ascii="Times New Roman" w:hAnsi="Times New Roman"/>
                <w:spacing w:val="-4"/>
                <w:sz w:val="24"/>
                <w:szCs w:val="24"/>
                <w:lang w:val="ru-RU" w:eastAsia="en-US"/>
              </w:rPr>
              <w:t xml:space="preserve">1.2. </w:t>
            </w:r>
            <w:r>
              <w:rPr>
                <w:rFonts w:cs="Times New Roman" w:ascii="Times New Roman" w:hAnsi="Times New Roman"/>
                <w:b/>
                <w:spacing w:val="-4"/>
                <w:sz w:val="24"/>
                <w:szCs w:val="24"/>
                <w:lang w:val="ru-RU" w:eastAsia="en-US"/>
              </w:rPr>
              <w:t>Аналогічний договір(и)</w:t>
            </w:r>
            <w:r>
              <w:rPr>
                <w:rFonts w:cs="Times New Roman" w:ascii="Times New Roman" w:hAnsi="Times New Roman"/>
                <w:spacing w:val="-4"/>
                <w:sz w:val="24"/>
                <w:szCs w:val="24"/>
                <w:lang w:val="ru-RU" w:eastAsia="en-US"/>
              </w:rPr>
              <w:t>* або витяг(и) з договору(ів)** - не менше 1 договору, зазначеного у довідці (п.1.1. цього розділу).</w:t>
            </w:r>
          </w:p>
          <w:p>
            <w:pPr>
              <w:pStyle w:val="Normal"/>
              <w:widowControl w:val="false"/>
              <w:suppressAutoHyphens w:val="false"/>
              <w:spacing w:lineRule="auto" w:line="276" w:before="0" w:after="0"/>
              <w:ind w:firstLine="284"/>
              <w:rPr>
                <w:rFonts w:ascii="Times New Roman" w:hAnsi="Times New Roman" w:cs="Times New Roman"/>
                <w:i/>
                <w:i/>
                <w:spacing w:val="-4"/>
                <w:sz w:val="24"/>
                <w:szCs w:val="24"/>
                <w:lang w:val="ru-RU" w:eastAsia="en-US"/>
              </w:rPr>
            </w:pPr>
            <w:r>
              <w:rPr>
                <w:rFonts w:cs="Times New Roman" w:ascii="Times New Roman" w:hAnsi="Times New Roman"/>
                <w:i/>
                <w:spacing w:val="-4"/>
                <w:sz w:val="24"/>
                <w:szCs w:val="24"/>
                <w:lang w:val="ru-RU" w:eastAsia="en-US"/>
              </w:rPr>
              <w:t>*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false"/>
              <w:spacing w:lineRule="auto" w:line="276" w:before="0" w:after="0"/>
              <w:ind w:firstLine="284"/>
              <w:rPr>
                <w:rFonts w:ascii="Times New Roman" w:hAnsi="Times New Roman" w:cs="Times New Roman"/>
                <w:i/>
                <w:i/>
                <w:spacing w:val="-4"/>
                <w:sz w:val="24"/>
                <w:szCs w:val="24"/>
                <w:lang w:val="ru-RU" w:eastAsia="en-US"/>
              </w:rPr>
            </w:pPr>
            <w:r>
              <w:rPr>
                <w:rFonts w:cs="Times New Roman" w:ascii="Times New Roman" w:hAnsi="Times New Roman"/>
                <w:i/>
                <w:spacing w:val="-4"/>
                <w:sz w:val="24"/>
                <w:szCs w:val="24"/>
                <w:lang w:val="ru-RU" w:eastAsia="en-US"/>
              </w:rPr>
              <w:t>** 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pPr>
              <w:pStyle w:val="Normal"/>
              <w:widowControl w:val="false"/>
              <w:suppressAutoHyphens w:val="false"/>
              <w:spacing w:lineRule="auto" w:line="276" w:before="0" w:after="0"/>
              <w:ind w:firstLine="284"/>
              <w:rPr>
                <w:rFonts w:ascii="Times New Roman" w:hAnsi="Times New Roman" w:eastAsia="Times New Roman" w:cs="Times New Roman"/>
                <w:sz w:val="24"/>
                <w:szCs w:val="24"/>
              </w:rPr>
            </w:pPr>
            <w:r>
              <w:rPr>
                <w:rFonts w:cs="Times New Roman" w:ascii="Times New Roman" w:hAnsi="Times New Roman"/>
                <w:spacing w:val="-4"/>
                <w:sz w:val="24"/>
                <w:szCs w:val="24"/>
                <w:lang w:val="ru-RU" w:eastAsia="en-US"/>
              </w:rPr>
              <w:t xml:space="preserve">1.3. </w:t>
            </w:r>
            <w:r>
              <w:rPr>
                <w:rFonts w:cs="Times New Roman" w:ascii="Times New Roman" w:hAnsi="Times New Roman"/>
                <w:b/>
                <w:spacing w:val="-4"/>
                <w:sz w:val="24"/>
                <w:szCs w:val="24"/>
                <w:lang w:val="ru-RU" w:eastAsia="en-US"/>
              </w:rPr>
              <w:t>Лист-відгук</w:t>
            </w:r>
            <w:r>
              <w:rPr>
                <w:rFonts w:cs="Times New Roman" w:ascii="Times New Roman" w:hAnsi="Times New Roman"/>
                <w:spacing w:val="-4"/>
                <w:sz w:val="24"/>
                <w:szCs w:val="24"/>
                <w:lang w:val="ru-RU" w:eastAsia="en-US"/>
              </w:rPr>
              <w:t xml:space="preserve">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pPr>
        <w:pStyle w:val="Normal"/>
        <w:spacing w:before="240" w:after="0"/>
        <w:ind w:firstLine="720"/>
        <w:jc w:val="both"/>
        <w:rPr/>
      </w:pPr>
      <w:r>
        <w:rPr>
          <w:rFonts w:eastAsia="Times New Roman" w:cs="Times New Roman"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20" w:after="20"/>
        <w:jc w:val="both"/>
        <w:rPr/>
      </w:pPr>
      <w:r>
        <w:rPr>
          <w:rFonts w:eastAsia="Times New Roman" w:cs="Times New Roman" w:ascii="Times New Roman" w:hAnsi="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pPr>
        <w:pStyle w:val="Normal"/>
        <w:ind w:firstLine="567"/>
        <w:jc w:val="both"/>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pPr>
      <w:r>
        <w:rPr>
          <w:rFonts w:eastAsia="Times New Roman" w:cs="Times New Roman"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ind w:firstLine="567"/>
        <w:jc w:val="both"/>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before="0" w:after="120"/>
        <w:ind w:firstLine="567"/>
        <w:jc w:val="both"/>
        <w:rPr>
          <w:rFonts w:ascii="Times New Roman" w:hAnsi="Times New Roman"/>
          <w:b/>
          <w:b/>
          <w:color w:val="000000"/>
          <w:u w:val="single"/>
        </w:rPr>
      </w:pPr>
      <w:r>
        <w:rPr>
          <w:rFonts w:eastAsia="Times New Roman" w:cs="Times New Roman" w:ascii="Times New Roman" w:hAnsi="Times New Roman"/>
          <w:b/>
          <w:i/>
          <w:color w:val="000000"/>
          <w:sz w:val="24"/>
          <w:szCs w:val="24"/>
          <w:u w:val="single"/>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ind w:firstLine="567"/>
        <w:jc w:val="both"/>
        <w:rPr/>
      </w:pPr>
      <w:r>
        <w:rPr>
          <w:rFonts w:eastAsia="Times New Roman" w:cs="Times New Roman" w:ascii="Times New Roman" w:hAnsi="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pPr>
        <w:pStyle w:val="Normal"/>
        <w:jc w:val="both"/>
        <w:rPr/>
      </w:pPr>
      <w:r>
        <w:rPr>
          <w:rFonts w:eastAsia="Times New Roman" w:cs="Times New Roman" w:ascii="Times New Roman" w:hAnsi="Times New Roman"/>
          <w:b/>
          <w:sz w:val="24"/>
          <w:szCs w:val="24"/>
        </w:rPr>
        <w:t xml:space="preserve">3. Перелік документів та інформації  для підтвердження відповідності ПЕРЕМОЖЦЯ вимогам, визначеним у пункті </w:t>
      </w:r>
      <w:r>
        <w:rPr>
          <w:rFonts w:eastAsia="Times New Roman" w:cs="Times New Roman" w:ascii="Times New Roman" w:hAnsi="Times New Roman"/>
          <w:sz w:val="24"/>
          <w:szCs w:val="24"/>
        </w:rPr>
        <w:t>47</w:t>
      </w:r>
      <w:r>
        <w:rPr>
          <w:rFonts w:eastAsia="Times New Roman" w:cs="Times New Roman" w:ascii="Times New Roman" w:hAnsi="Times New Roman"/>
          <w:b/>
          <w:sz w:val="24"/>
          <w:szCs w:val="24"/>
        </w:rPr>
        <w:t xml:space="preserve"> Особливостей:</w:t>
      </w:r>
    </w:p>
    <w:p>
      <w:pPr>
        <w:pStyle w:val="Normal"/>
        <w:ind w:firstLine="567"/>
        <w:jc w:val="both"/>
        <w:rPr/>
      </w:pPr>
      <w:r>
        <w:rPr>
          <w:rFonts w:eastAsia="Times New Roman" w:cs="Times New Roman" w:ascii="Times New Roman" w:hAnsi="Times New Roman"/>
          <w:sz w:val="24"/>
          <w:szCs w:val="24"/>
        </w:rPr>
        <w:t xml:space="preserve">Переможець процедури закупівлі у строк, що </w:t>
      </w:r>
      <w:r>
        <w:rPr>
          <w:rFonts w:eastAsia="Times New Roman" w:cs="Times New Roman" w:ascii="Times New Roman" w:hAnsi="Times New Roman"/>
          <w:b/>
          <w:i/>
          <w:sz w:val="24"/>
          <w:szCs w:val="24"/>
        </w:rPr>
        <w:t xml:space="preserve">не перевищує чотири дні </w:t>
      </w:r>
      <w:r>
        <w:rPr>
          <w:rFonts w:eastAsia="Times New Roman" w:cs="Times New Roman"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rPr/>
      </w:pP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3.1. Документи, які надаються  ПЕРЕМОЖЦЕМ (юридичною особою):</w:t>
      </w:r>
    </w:p>
    <w:tbl>
      <w:tblPr>
        <w:tblW w:w="10605"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599"/>
        <w:gridCol w:w="5186"/>
        <w:gridCol w:w="4820"/>
      </w:tblGrid>
      <w:tr>
        <w:trPr>
          <w:trHeight w:val="100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w:t>
            </w:r>
          </w:p>
          <w:p>
            <w:pPr>
              <w:pStyle w:val="Normal"/>
              <w:widowControl w:val="false"/>
              <w:spacing w:before="0" w:after="160"/>
              <w:ind w:left="100" w:hanging="0"/>
              <w:jc w:val="center"/>
              <w:rPr/>
            </w:pPr>
            <w:r>
              <w:rPr>
                <w:rFonts w:eastAsia="Times New Roman" w:cs="Times New Roman" w:ascii="Times New Roman" w:hAnsi="Times New Roman"/>
                <w:b/>
                <w:sz w:val="24"/>
                <w:szCs w:val="24"/>
              </w:rPr>
              <w:t>з/п</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Вимоги згідно п. 47 Особливостей</w:t>
            </w:r>
          </w:p>
          <w:p>
            <w:pPr>
              <w:pStyle w:val="Normal"/>
              <w:widowControl w:val="false"/>
              <w:spacing w:before="0" w:after="16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48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1</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160"/>
              <w:jc w:val="both"/>
              <w:rPr/>
            </w:pPr>
            <w:r>
              <w:rPr>
                <w:rFonts w:eastAsia="Times New Roman" w:cs="Times New Roman" w:ascii="Times New Roman" w:hAnsi="Times New Roman"/>
                <w:b/>
                <w:sz w:val="24"/>
                <w:szCs w:val="24"/>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2</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160"/>
              <w:ind w:right="140" w:hanging="0"/>
              <w:jc w:val="both"/>
              <w:rPr>
                <w:b/>
                <w:b/>
              </w:rPr>
            </w:pPr>
            <w:r>
              <w:rPr>
                <w:rFonts w:eastAsia="Times New Roman" w:cs="Times New Roman" w:ascii="Times New Roman" w:hAnsi="Times New Roman"/>
                <w:b/>
                <w:sz w:val="24"/>
                <w:szCs w:val="24"/>
              </w:rPr>
              <w:t>(підпункт 6 пункт 47 Особливостей)</w:t>
            </w:r>
          </w:p>
        </w:tc>
        <w:tc>
          <w:tcPr>
            <w:tcW w:w="4820" w:type="dxa"/>
            <w:vMerge w:val="restart"/>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253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3</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160"/>
              <w:jc w:val="both"/>
              <w:rPr/>
            </w:pPr>
            <w:r>
              <w:rPr>
                <w:rFonts w:eastAsia="Times New Roman" w:cs="Times New Roman" w:ascii="Times New Roman" w:hAnsi="Times New Roman"/>
                <w:b/>
                <w:sz w:val="24"/>
                <w:szCs w:val="24"/>
              </w:rPr>
              <w:t>(підпункт 12 пункт 47 Особливостей)</w:t>
            </w:r>
          </w:p>
        </w:tc>
        <w:tc>
          <w:tcPr>
            <w:tcW w:w="4820" w:type="dxa"/>
            <w:vMerge w:val="continue"/>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spacing w:before="0" w:after="160"/>
              <w:rPr/>
            </w:pPr>
            <w:r>
              <w:rPr/>
            </w:r>
          </w:p>
        </w:tc>
      </w:tr>
      <w:tr>
        <w:trPr>
          <w:trHeight w:val="862"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4</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160"/>
              <w:jc w:val="both"/>
              <w:rPr/>
            </w:pPr>
            <w:r>
              <w:rPr>
                <w:rFonts w:eastAsia="Times New Roman" w:cs="Times New Roman" w:ascii="Times New Roman" w:hAnsi="Times New Roman"/>
                <w:b/>
                <w:sz w:val="24"/>
                <w:szCs w:val="24"/>
              </w:rPr>
              <w:t>(абзац 14 пункт 47 Особливостей)</w:t>
            </w:r>
          </w:p>
        </w:tc>
        <w:tc>
          <w:tcPr>
            <w:tcW w:w="4820"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348"/>
              <w:jc w:val="both"/>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240" w:after="0"/>
        <w:jc w:val="center"/>
        <w:rPr/>
      </w:pPr>
      <w:r>
        <w:rPr>
          <w:rFonts w:eastAsia="Times New Roman" w:cs="Times New Roman" w:ascii="Times New Roman" w:hAnsi="Times New Roman"/>
          <w:b/>
          <w:sz w:val="24"/>
          <w:szCs w:val="24"/>
        </w:rPr>
        <w:t>3.2. Документи, які надаються ПЕРЕМОЖЦЕМ (фізичною особою чи фізичною особою — підприємцем):</w:t>
      </w:r>
    </w:p>
    <w:tbl>
      <w:tblPr>
        <w:tblW w:w="10605"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599"/>
        <w:gridCol w:w="4538"/>
        <w:gridCol w:w="5468"/>
      </w:tblGrid>
      <w:tr>
        <w:trPr>
          <w:trHeight w:val="82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w:t>
            </w:r>
          </w:p>
          <w:p>
            <w:pPr>
              <w:pStyle w:val="Normal"/>
              <w:widowControl w:val="false"/>
              <w:spacing w:before="0" w:after="160"/>
              <w:ind w:left="100" w:hanging="0"/>
              <w:jc w:val="center"/>
              <w:rPr/>
            </w:pPr>
            <w:r>
              <w:rPr>
                <w:rFonts w:eastAsia="Times New Roman" w:cs="Times New Roman" w:ascii="Times New Roman" w:hAnsi="Times New Roman"/>
                <w:b/>
                <w:sz w:val="24"/>
                <w:szCs w:val="24"/>
              </w:rPr>
              <w:t>з/п</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Вимоги згідно п. 47 Особливостей</w:t>
            </w:r>
          </w:p>
          <w:p>
            <w:pPr>
              <w:pStyle w:val="Normal"/>
              <w:widowControl w:val="false"/>
              <w:spacing w:before="0" w:after="16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4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1</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160"/>
              <w:jc w:val="both"/>
              <w:rPr/>
            </w:pPr>
            <w:r>
              <w:rPr>
                <w:rFonts w:eastAsia="Times New Roman" w:cs="Times New Roman" w:ascii="Times New Roman" w:hAnsi="Times New Roman"/>
                <w:b/>
                <w:sz w:val="24"/>
                <w:szCs w:val="24"/>
              </w:rPr>
              <w:t>(підпункт 3 пункт 47 Особливостей)</w:t>
            </w:r>
          </w:p>
        </w:tc>
        <w:tc>
          <w:tcPr>
            <w:tcW w:w="54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2</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pPr>
            <w:r>
              <w:rPr>
                <w:rFonts w:eastAsia="Times New Roman" w:cs="Times New Roman" w:ascii="Times New Roman" w:hAnsi="Times New Roman"/>
                <w:b/>
                <w:sz w:val="24"/>
                <w:szCs w:val="24"/>
              </w:rPr>
              <w:t>(підпункт 5 пункт 47 Особливостей)</w:t>
            </w:r>
          </w:p>
        </w:tc>
        <w:tc>
          <w:tcPr>
            <w:tcW w:w="5468" w:type="dxa"/>
            <w:vMerge w:val="restart"/>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before="0" w:after="160"/>
              <w:jc w:val="both"/>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163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3</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160"/>
              <w:jc w:val="both"/>
              <w:rPr/>
            </w:pPr>
            <w:r>
              <w:rPr>
                <w:rFonts w:eastAsia="Times New Roman" w:cs="Times New Roman" w:ascii="Times New Roman" w:hAnsi="Times New Roman"/>
                <w:b/>
                <w:sz w:val="24"/>
                <w:szCs w:val="24"/>
              </w:rPr>
              <w:t>(підпункт 12 пункт 47 Особливостей)</w:t>
            </w:r>
          </w:p>
        </w:tc>
        <w:tc>
          <w:tcPr>
            <w:tcW w:w="5468" w:type="dxa"/>
            <w:vMerge w:val="continue"/>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spacing w:before="0" w:after="160"/>
              <w:rPr/>
            </w:pPr>
            <w:r>
              <w:rPr/>
            </w:r>
          </w:p>
        </w:tc>
      </w:tr>
      <w:tr>
        <w:trPr>
          <w:trHeight w:val="2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4</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160"/>
              <w:jc w:val="both"/>
              <w:rPr/>
            </w:pPr>
            <w:r>
              <w:rPr>
                <w:rFonts w:eastAsia="Times New Roman" w:cs="Times New Roman" w:ascii="Times New Roman" w:hAnsi="Times New Roman"/>
                <w:b/>
                <w:sz w:val="24"/>
                <w:szCs w:val="24"/>
              </w:rPr>
              <w:t>(абзац 14 пункт 47 Особливостей)</w:t>
            </w:r>
          </w:p>
        </w:tc>
        <w:tc>
          <w:tcPr>
            <w:tcW w:w="5468"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348"/>
              <w:jc w:val="both"/>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605"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411"/>
        <w:gridCol w:w="10193"/>
      </w:tblGrid>
      <w:tr>
        <w:trPr>
          <w:trHeight w:val="124" w:hRule="atLeast"/>
        </w:trPr>
        <w:tc>
          <w:tcPr>
            <w:tcW w:w="10604"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Інші документи від Учасника:</w:t>
            </w:r>
          </w:p>
        </w:tc>
      </w:tr>
      <w:tr>
        <w:trPr>
          <w:trHeight w:val="807"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1</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false"/>
              <w:spacing w:lineRule="auto" w:line="240" w:before="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Довідка, яка містить відомості про учасника:</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Повна назва учасника 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Юридична адреса ___________________________________________________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Поштова адреса _____________________________________________________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Код ЄДРПОУ _______________________________________________________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П.І.Б. керівника або службової (посадової) особи учасника процедури закупівлі, уповноваженої на підпис тендерної пропозиції на закупівлю, та документів за результатами процедури закупівлі 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Телефон 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sz w:val="24"/>
                <w:szCs w:val="24"/>
                <w:lang w:val="ru-RU"/>
              </w:rPr>
            </w:pPr>
            <w:r>
              <w:rPr>
                <w:rFonts w:eastAsia="Times New Roman" w:cs="Times New Roman" w:ascii="Times New Roman" w:hAnsi="Times New Roman"/>
                <w:lang w:val="ru-RU"/>
              </w:rPr>
              <w:t>Інформація про реквізити банківського рахунку, на який буде здійснюватися оплата за договором</w:t>
            </w:r>
            <w:r>
              <w:rPr>
                <w:rFonts w:eastAsia="Times New Roman" w:cs="Times New Roman" w:ascii="Times New Roman" w:hAnsi="Times New Roman"/>
                <w:sz w:val="27"/>
                <w:szCs w:val="27"/>
                <w:lang w:val="ru-RU"/>
              </w:rPr>
              <w:t xml:space="preserve"> ____</w:t>
            </w:r>
          </w:p>
        </w:tc>
      </w:tr>
      <w:tr>
        <w:trPr>
          <w:trHeight w:val="807"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rPr>
                <w:lang w:val="ru-RU"/>
              </w:rPr>
            </w:pPr>
            <w:r>
              <w:rPr>
                <w:rFonts w:eastAsia="Times New Roman" w:cs="Times New Roman" w:ascii="Times New Roman" w:hAnsi="Times New Roman"/>
                <w:b/>
                <w:sz w:val="24"/>
                <w:szCs w:val="24"/>
                <w:lang w:val="ru-RU"/>
              </w:rPr>
              <w:t>2</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both"/>
              <w:rPr/>
            </w:pPr>
            <w:r>
              <w:rPr>
                <w:rFonts w:eastAsia="Times New Roman" w:cs="Times New Roman" w:ascii="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3</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right="120" w:hanging="20"/>
              <w:jc w:val="both"/>
              <w:rPr>
                <w:sz w:val="24"/>
                <w:szCs w:val="24"/>
              </w:rPr>
            </w:pPr>
            <w:r>
              <w:rPr>
                <w:rFonts w:eastAsia="Times New Roman" w:cs="Times New Roman" w:ascii="Times New Roman" w:hAnsi="Times New Roman"/>
                <w:sz w:val="24"/>
                <w:szCs w:val="24"/>
                <w:shd w:fill="FFFFFF" w:val="clear"/>
              </w:rPr>
              <w:t>Завірена копія діючої ліцензії та/або  діючого дозволу (-ів) та/або декларації (-ій) на право займатися відповідною діяльністю (у випадку, якщо надання таких документів передбачено законодавством).</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4</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jc w:val="both"/>
              <w:rPr>
                <w:color w:val="000000"/>
              </w:rPr>
            </w:pPr>
            <w:r>
              <w:rPr>
                <w:rFonts w:eastAsia="Times New Roman" w:cs="Times New Roman" w:ascii="Times New Roman" w:hAnsi="Times New Roman"/>
                <w:b/>
                <w:color w:val="000000"/>
                <w:sz w:val="24"/>
                <w:szCs w:val="24"/>
                <w:lang w:eastAsia="en-US"/>
              </w:rPr>
              <w:t>Довідка</w:t>
            </w:r>
            <w:r>
              <w:rPr>
                <w:rFonts w:eastAsia="Times New Roman" w:cs="Times New Roman" w:ascii="Times New Roman" w:hAnsi="Times New Roman"/>
                <w:color w:val="000000"/>
                <w:sz w:val="24"/>
                <w:szCs w:val="24"/>
                <w:lang w:eastAsia="en-US"/>
              </w:rPr>
              <w:t xml:space="preserve">, складена </w:t>
            </w:r>
            <w:r>
              <w:rPr>
                <w:rFonts w:eastAsia="Times New Roman" w:cs="Times New Roman" w:ascii="Times New Roman" w:hAnsi="Times New Roman"/>
                <w:b/>
                <w:color w:val="000000"/>
                <w:sz w:val="24"/>
                <w:szCs w:val="24"/>
                <w:lang w:eastAsia="en-US"/>
              </w:rPr>
              <w:t>в довільній формі</w:t>
            </w:r>
            <w:r>
              <w:rPr>
                <w:rFonts w:eastAsia="Times New Roman" w:cs="Times New Roman" w:ascii="Times New Roman" w:hAnsi="Times New Roman"/>
                <w:color w:val="000000"/>
                <w:sz w:val="24"/>
                <w:szCs w:val="24"/>
                <w:lang w:eastAsia="en-US"/>
              </w:rPr>
              <w:t xml:space="preserve">, яка містить інформацію про засновника та </w:t>
            </w:r>
            <w:r>
              <w:rPr>
                <w:rFonts w:eastAsia="Times New Roman" w:cs="Times New Roman" w:ascii="Times New Roman" w:hAnsi="Times New Roman"/>
                <w:b/>
                <w:color w:val="000000"/>
                <w:sz w:val="24"/>
                <w:szCs w:val="24"/>
                <w:lang w:eastAsia="en-US"/>
              </w:rPr>
              <w:t>кінцевого бенефіціарного власника</w:t>
            </w:r>
            <w:r>
              <w:rPr>
                <w:rFonts w:eastAsia="Times New Roman" w:cs="Times New Roman" w:ascii="Times New Roman" w:hAnsi="Times New Roman"/>
                <w:color w:val="000000"/>
                <w:sz w:val="24"/>
                <w:szCs w:val="24"/>
                <w:lang w:eastAsia="en-US"/>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pPr>
              <w:pStyle w:val="Normal"/>
              <w:widowControl w:val="false"/>
              <w:spacing w:before="0" w:after="0"/>
              <w:jc w:val="both"/>
              <w:rPr/>
            </w:pPr>
            <w:r>
              <w:rPr>
                <w:rFonts w:eastAsia="Times New Roman" w:cs="Times New Roman" w:ascii="Times New Roman" w:hAnsi="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cs="Times New Roman" w:ascii="Times New Roman" w:hAnsi="Times New Roman"/>
                <w:color w:val="333333"/>
                <w:sz w:val="24"/>
                <w:szCs w:val="24"/>
              </w:rPr>
              <w:t>Ісламської Республіки Іран</w:t>
            </w:r>
            <w:r>
              <w:rPr>
                <w:rFonts w:eastAsia="Times New Roman" w:cs="Times New Roman" w:ascii="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4"/>
              </w:numPr>
              <w:spacing w:before="0" w:after="0"/>
              <w:ind w:left="283" w:hanging="283"/>
              <w:jc w:val="both"/>
              <w:rPr/>
            </w:pPr>
            <w:r>
              <w:rPr>
                <w:rFonts w:eastAsia="Times New Roman" w:cs="Times New Roman" w:ascii="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5"/>
              </w:numPr>
              <w:spacing w:before="0" w:after="0"/>
              <w:ind w:left="283" w:hanging="283"/>
              <w:jc w:val="both"/>
              <w:rPr/>
            </w:pPr>
            <w:r>
              <w:rPr>
                <w:rFonts w:eastAsia="Times New Roman" w:cs="Times New Roman" w:ascii="Times New Roman" w:hAnsi="Times New Roman"/>
                <w:sz w:val="24"/>
                <w:szCs w:val="24"/>
              </w:rPr>
              <w:t>посвідчення біженця чи документ, що підтверджує надання притулку в Україні,</w:t>
            </w:r>
          </w:p>
          <w:p>
            <w:pPr>
              <w:pStyle w:val="Normal"/>
              <w:widowControl w:val="false"/>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2"/>
              </w:numPr>
              <w:spacing w:before="0" w:after="0"/>
              <w:ind w:left="283" w:hanging="283"/>
              <w:jc w:val="both"/>
              <w:rPr/>
            </w:pPr>
            <w:r>
              <w:rPr>
                <w:rFonts w:eastAsia="Times New Roman" w:cs="Times New Roman" w:ascii="Times New Roman" w:hAnsi="Times New Roman"/>
                <w:sz w:val="24"/>
                <w:szCs w:val="24"/>
              </w:rPr>
              <w:t>-   посвідчення особи, яка потребує додаткового захисту в Україні,</w:t>
            </w:r>
          </w:p>
          <w:p>
            <w:pPr>
              <w:pStyle w:val="Normal"/>
              <w:widowControl w:val="false"/>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6"/>
              </w:numPr>
              <w:shd w:val="clear" w:color="auto" w:fill="FFFFFF"/>
              <w:spacing w:before="0" w:after="0"/>
              <w:ind w:left="283" w:hanging="283"/>
              <w:jc w:val="both"/>
              <w:rPr/>
            </w:pPr>
            <w:r>
              <w:rPr>
                <w:rFonts w:eastAsia="Times New Roman" w:cs="Times New Roman" w:ascii="Times New Roman" w:hAnsi="Times New Roman"/>
                <w:sz w:val="24"/>
                <w:szCs w:val="24"/>
              </w:rPr>
              <w:t>посвідчення особи, якій надано тимчасовий захист в Україні,</w:t>
            </w:r>
          </w:p>
          <w:p>
            <w:pPr>
              <w:pStyle w:val="Normal"/>
              <w:widowControl w:val="false"/>
              <w:shd w:val="clear" w:color="auto" w:fill="FFFFFF"/>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7"/>
              </w:numPr>
              <w:spacing w:before="0" w:after="0"/>
              <w:ind w:left="283" w:hanging="283"/>
              <w:jc w:val="both"/>
              <w:rPr/>
            </w:pPr>
            <w:r>
              <w:rPr>
                <w:rFonts w:eastAsia="Times New Roman" w:cs="Times New Roman" w:ascii="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5</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40" w:right="140" w:hanging="0"/>
              <w:jc w:val="both"/>
              <w:rPr/>
            </w:pPr>
            <w:r>
              <w:rPr>
                <w:rFonts w:eastAsia="Times New Roman" w:cs="Times New Roman" w:ascii="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Pr>
                  <w:rFonts w:eastAsia="Times New Roman" w:cs="Times New Roman" w:ascii="Times New Roman" w:hAnsi="Times New Roman"/>
                  <w:sz w:val="24"/>
                  <w:szCs w:val="24"/>
                </w:rPr>
                <w:t>Наказом № 794/21</w:t>
              </w:r>
            </w:hyperlink>
            <w:r>
              <w:rPr>
                <w:rFonts w:eastAsia="Times New Roman" w:cs="Times New Roman" w:ascii="Times New Roman" w:hAnsi="Times New Roman"/>
                <w:sz w:val="24"/>
                <w:szCs w:val="24"/>
              </w:rPr>
              <w:t>,  та відповідний наказ про затвердження антикорупційної програми та призначення уповноваженого з її реалізації.</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6</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firstLine="281"/>
              <w:jc w:val="both"/>
              <w:rPr/>
            </w:pPr>
            <w:r>
              <w:rPr>
                <w:rFonts w:eastAsia="Times New Roman" w:cs="Times New Roman"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pPr>
              <w:pStyle w:val="Normal"/>
              <w:keepNext w:val="true"/>
              <w:keepLines/>
              <w:widowControl w:val="false"/>
              <w:suppressLineNumbers/>
              <w:tabs>
                <w:tab w:val="clear" w:pos="708"/>
                <w:tab w:val="left" w:pos="900" w:leader="none"/>
              </w:tabs>
              <w:ind w:firstLine="281"/>
              <w:jc w:val="both"/>
              <w:rPr/>
            </w:pPr>
            <w:r>
              <w:rPr>
                <w:rFonts w:eastAsia="Times New Roman" w:cs="Times New Roman" w:ascii="Times New Roman" w:hAnsi="Times New Roman"/>
                <w:b/>
                <w:sz w:val="24"/>
                <w:szCs w:val="24"/>
                <w:u w:val="single"/>
              </w:rPr>
              <w:t>для керівника учасника</w:t>
            </w:r>
            <w:r>
              <w:rPr>
                <w:rFonts w:eastAsia="Times New Roman" w:cs="Times New Roman" w:ascii="Times New Roman" w:hAnsi="Times New Roman"/>
                <w:sz w:val="24"/>
                <w:szCs w:val="24"/>
              </w:rPr>
              <w:t xml:space="preserve"> – виписка з протоколу зборів засновників або копія протоколу зборів засновників, копія наказу про призначення, </w:t>
            </w:r>
            <w:r>
              <w:rPr>
                <w:rFonts w:eastAsia="Times New Roman" w:cs="Times New Roman" w:ascii="Times New Roman" w:hAnsi="Times New Roman"/>
                <w:sz w:val="24"/>
                <w:szCs w:val="24"/>
                <w:shd w:fill="FFFFFF" w:val="clear"/>
              </w:rPr>
              <w:t>та</w:t>
            </w:r>
            <w:r>
              <w:rPr>
                <w:rFonts w:eastAsia="Times New Roman" w:cs="Times New Roman" w:ascii="Times New Roman" w:hAnsi="Times New Roman"/>
                <w:sz w:val="24"/>
                <w:szCs w:val="24"/>
              </w:rPr>
              <w:t>/або інший документ, що підтверджує повноваження керівника учасника;</w:t>
            </w:r>
          </w:p>
          <w:p>
            <w:pPr>
              <w:pStyle w:val="Normal"/>
              <w:keepNext w:val="true"/>
              <w:keepLines/>
              <w:widowControl w:val="false"/>
              <w:suppressLineNumbers/>
              <w:tabs>
                <w:tab w:val="clear" w:pos="708"/>
                <w:tab w:val="left" w:pos="900" w:leader="none"/>
              </w:tabs>
              <w:ind w:firstLine="281"/>
              <w:jc w:val="both"/>
              <w:rPr/>
            </w:pPr>
            <w:r>
              <w:rPr>
                <w:rFonts w:eastAsia="Times New Roman" w:cs="Times New Roman" w:ascii="Times New Roman" w:hAnsi="Times New Roman"/>
                <w:b/>
                <w:sz w:val="24"/>
                <w:szCs w:val="24"/>
                <w:u w:val="single"/>
              </w:rPr>
              <w:t>для іншої посадової особи учасника</w:t>
            </w:r>
            <w:r>
              <w:rPr>
                <w:rFonts w:eastAsia="Times New Roman" w:cs="Times New Roman"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pPr>
              <w:pStyle w:val="Normal"/>
              <w:widowControl w:val="false"/>
              <w:spacing w:before="0" w:after="0"/>
              <w:ind w:firstLine="282"/>
              <w:jc w:val="both"/>
              <w:rPr>
                <w:color w:val="000000"/>
              </w:rPr>
            </w:pPr>
            <w:r>
              <w:rPr>
                <w:rFonts w:cs="Times New Roman" w:ascii="Times New Roman" w:hAnsi="Times New Roman"/>
                <w:iCs/>
                <w:sz w:val="24"/>
                <w:szCs w:val="24"/>
              </w:rPr>
              <w:t xml:space="preserve"> </w:t>
            </w:r>
            <w:r>
              <w:rPr>
                <w:rFonts w:cs="Times New Roman" w:ascii="Times New Roman" w:hAnsi="Times New Roman"/>
                <w:b/>
                <w:iCs/>
                <w:sz w:val="24"/>
                <w:szCs w:val="24"/>
                <w:u w:val="single"/>
              </w:rPr>
              <w:t>для юридичної особи організаційно-правової форми товариство з обмеженою відповідальністю (ТОВ) або товариство з додатковою відповідальністю (ТДВ)</w:t>
            </w:r>
            <w:r>
              <w:rPr>
                <w:rFonts w:cs="Times New Roman" w:ascii="Times New Roman" w:hAnsi="Times New Roman"/>
                <w:iCs/>
                <w:sz w:val="24"/>
                <w:szCs w:val="24"/>
              </w:rPr>
              <w:t xml:space="preserve">,  </w:t>
            </w:r>
            <w:r>
              <w:rPr>
                <w:rFonts w:cs="Times New Roman" w:ascii="Times New Roman" w:hAnsi="Times New Roman"/>
                <w:bCs/>
                <w:sz w:val="24"/>
                <w:szCs w:val="24"/>
              </w:rPr>
              <w:t>такий учасник додатково додає:</w:t>
            </w:r>
          </w:p>
          <w:p>
            <w:pPr>
              <w:pStyle w:val="Normal"/>
              <w:widowControl w:val="false"/>
              <w:spacing w:before="0" w:after="0"/>
              <w:jc w:val="both"/>
              <w:rPr>
                <w:color w:val="000000"/>
              </w:rPr>
            </w:pPr>
            <w:r>
              <w:rPr>
                <w:rFonts w:cs="Times New Roman" w:ascii="Times New Roman" w:hAnsi="Times New Roman"/>
                <w:color w:val="000000"/>
                <w:sz w:val="24"/>
                <w:szCs w:val="24"/>
              </w:rPr>
              <w:t>- Копія Статуту та/або копія рішення загальних зборів учасників товариства (рішення власника) про дозвіл укладання Договору за результатами закупівлі;</w:t>
            </w:r>
          </w:p>
          <w:p>
            <w:pPr>
              <w:pStyle w:val="Normal"/>
              <w:widowControl w:val="false"/>
              <w:spacing w:before="0" w:after="0"/>
              <w:ind w:right="147" w:hanging="0"/>
              <w:jc w:val="both"/>
              <w:textAlignment w:val="baseline"/>
              <w:rPr>
                <w:color w:val="000000"/>
              </w:rPr>
            </w:pPr>
            <w:r>
              <w:rPr>
                <w:rFonts w:cs="Times New Roman" w:ascii="Times New Roman" w:hAnsi="Times New Roman"/>
                <w:color w:val="000000"/>
                <w:sz w:val="24"/>
                <w:szCs w:val="24"/>
              </w:rPr>
              <w:t xml:space="preserve">- Копія Балансу за останній звітний період, а саме </w:t>
            </w:r>
            <w:r>
              <w:rPr>
                <w:rFonts w:cs="Times New Roman" w:ascii="Times New Roman" w:hAnsi="Times New Roman"/>
                <w:color w:val="000000"/>
                <w:sz w:val="24"/>
                <w:szCs w:val="24"/>
                <w:shd w:fill="FFFFFF" w:val="clear"/>
              </w:rPr>
              <w:t xml:space="preserve">за </w:t>
            </w:r>
            <w:r>
              <w:rPr>
                <w:rFonts w:cs="Times New Roman" w:ascii="Times New Roman" w:hAnsi="Times New Roman"/>
                <w:color w:val="000000"/>
                <w:sz w:val="24"/>
                <w:szCs w:val="24"/>
              </w:rPr>
              <w:t>202</w:t>
            </w:r>
            <w:r>
              <w:rPr>
                <w:rFonts w:cs="Times New Roman" w:ascii="Times New Roman" w:hAnsi="Times New Roman"/>
                <w:color w:val="000000"/>
                <w:sz w:val="24"/>
                <w:szCs w:val="24"/>
                <w:lang w:val="ru-RU"/>
              </w:rPr>
              <w:t>3</w:t>
            </w:r>
            <w:r>
              <w:rPr>
                <w:rFonts w:cs="Times New Roman" w:ascii="Times New Roman" w:hAnsi="Times New Roman"/>
                <w:color w:val="000000"/>
                <w:sz w:val="24"/>
                <w:szCs w:val="24"/>
              </w:rPr>
              <w:t xml:space="preserve"> рік  (Форма №1 «Баланс»**) з відміткою органу статистики або з підтверджуючими документами про передачу та прийняття електронної звітності</w:t>
            </w:r>
            <w:r>
              <w:rPr>
                <w:rFonts w:eastAsia="Times New Roman" w:cs="Times New Roman" w:ascii="Times New Roman" w:hAnsi="Times New Roman"/>
                <w:color w:val="000000"/>
                <w:sz w:val="24"/>
                <w:szCs w:val="24"/>
              </w:rPr>
              <w:t xml:space="preserve"> засобами зв’язку;</w:t>
            </w:r>
          </w:p>
          <w:p>
            <w:pPr>
              <w:pStyle w:val="Normal"/>
              <w:widowControl w:val="false"/>
              <w:spacing w:before="0" w:after="0"/>
              <w:ind w:right="147" w:hanging="0"/>
              <w:jc w:val="both"/>
              <w:textAlignment w:val="baseline"/>
              <w:rPr>
                <w:color w:val="000000"/>
              </w:rPr>
            </w:pPr>
            <w:r>
              <w:rPr>
                <w:rFonts w:eastAsia="Times New Roman" w:cs="Times New Roman" w:ascii="Times New Roman" w:hAnsi="Times New Roman"/>
                <w:color w:val="000000"/>
                <w:sz w:val="24"/>
                <w:szCs w:val="24"/>
              </w:rPr>
              <w:t xml:space="preserve">- Копія звіту про фінансові результати учасника за останній звітний період, а саме </w:t>
            </w:r>
            <w:r>
              <w:rPr>
                <w:rFonts w:eastAsia="Times New Roman" w:cs="Times New Roman" w:ascii="Times New Roman" w:hAnsi="Times New Roman"/>
                <w:color w:val="000000"/>
                <w:sz w:val="24"/>
                <w:szCs w:val="24"/>
                <w:shd w:fill="FFFFFF" w:val="clear"/>
              </w:rPr>
              <w:t>за</w:t>
            </w:r>
            <w:r>
              <w:rPr>
                <w:rFonts w:eastAsia="Times New Roman" w:cs="Times New Roman" w:ascii="Times New Roman" w:hAnsi="Times New Roman"/>
                <w:color w:val="000000"/>
                <w:sz w:val="24"/>
                <w:szCs w:val="24"/>
              </w:rPr>
              <w:t xml:space="preserve"> 202</w:t>
            </w:r>
            <w:r>
              <w:rPr>
                <w:rFonts w:eastAsia="Times New Roman" w:cs="Times New Roman" w:ascii="Times New Roman" w:hAnsi="Times New Roman"/>
                <w:color w:val="000000"/>
                <w:sz w:val="24"/>
                <w:szCs w:val="24"/>
                <w:lang w:val="ru-RU"/>
              </w:rPr>
              <w:t>3</w:t>
            </w:r>
            <w:r>
              <w:rPr>
                <w:rFonts w:eastAsia="Times New Roman" w:cs="Times New Roman" w:ascii="Times New Roman" w:hAnsi="Times New Roman"/>
                <w:color w:val="000000"/>
                <w:sz w:val="24"/>
                <w:szCs w:val="24"/>
              </w:rPr>
              <w:t xml:space="preserve"> рік  (форма №2  «Звіт про фінансові результати»**) з відміткою органу статистики або з підтверджуючими документами про передачу та прийняття електронної звітності засобами зв’язку;</w:t>
            </w:r>
          </w:p>
          <w:p>
            <w:pPr>
              <w:pStyle w:val="Normal"/>
              <w:widowControl w:val="false"/>
              <w:spacing w:before="0" w:after="0"/>
              <w:ind w:right="147" w:hanging="0"/>
              <w:jc w:val="both"/>
              <w:textAlignment w:val="baseline"/>
              <w:rPr/>
            </w:pPr>
            <w:r>
              <w:rPr>
                <w:rFonts w:eastAsia="Times New Roman" w:cs="Times New Roman" w:ascii="Times New Roman" w:hAnsi="Times New Roman"/>
                <w:color w:val="000000"/>
                <w:sz w:val="24"/>
                <w:szCs w:val="24"/>
              </w:rPr>
              <w:t xml:space="preserve">- Копія звіту про рух грошових коштів учасника, а саме </w:t>
            </w:r>
            <w:r>
              <w:rPr>
                <w:rFonts w:eastAsia="Times New Roman" w:cs="Times New Roman" w:ascii="Times New Roman" w:hAnsi="Times New Roman"/>
                <w:color w:val="000000"/>
                <w:sz w:val="24"/>
                <w:szCs w:val="24"/>
                <w:shd w:fill="FFFFFF" w:val="clear"/>
              </w:rPr>
              <w:t>за</w:t>
            </w:r>
            <w:r>
              <w:rPr>
                <w:rFonts w:eastAsia="Times New Roman" w:cs="Times New Roman" w:ascii="Times New Roman" w:hAnsi="Times New Roman"/>
                <w:color w:val="000000"/>
                <w:sz w:val="24"/>
                <w:szCs w:val="24"/>
              </w:rPr>
              <w:t xml:space="preserve"> 2023 рік (форма Ф-3 «Звіт про рух грошових коштів»**) з відміткою органу статистики або з підтверджуюч</w:t>
            </w:r>
            <w:r>
              <w:rPr>
                <w:rFonts w:eastAsia="Times New Roman" w:cs="Times New Roman" w:ascii="Times New Roman" w:hAnsi="Times New Roman"/>
                <w:sz w:val="24"/>
                <w:szCs w:val="24"/>
              </w:rPr>
              <w:t>ими документами про передачу та прийняття електронної звітності засобами зв’язку;*</w:t>
            </w:r>
          </w:p>
          <w:p>
            <w:pPr>
              <w:pStyle w:val="Normal"/>
              <w:widowControl w:val="false"/>
              <w:spacing w:before="0" w:after="0"/>
              <w:ind w:right="147" w:hanging="0"/>
              <w:jc w:val="both"/>
              <w:textAlignment w:val="baseline"/>
              <w:rPr/>
            </w:pPr>
            <w:r>
              <w:rPr>
                <w:rFonts w:eastAsia="Times New Roman" w:cs="Times New Roman" w:ascii="Times New Roman" w:hAnsi="Times New Roman"/>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такий Учасник у складі пропозиції надає лист пояснення (в довільній формі), в якому зазначає законодавчі підстави ненадання вищезазначених документів та надає у складі пропозиції копії фінансової звітності за наявні в такого учасника за останні  періоди, які передують розкриттю пропозицій.</w:t>
            </w:r>
          </w:p>
          <w:p>
            <w:pPr>
              <w:pStyle w:val="Normal"/>
              <w:widowControl w:val="false"/>
              <w:spacing w:before="0" w:after="0"/>
              <w:ind w:right="147" w:hanging="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Якщо учасник суб’єкт малого підприємництва, то у складі пропозиції подається: Форма №1-м та Форма №2-м.</w:t>
            </w:r>
          </w:p>
        </w:tc>
      </w:tr>
    </w:tbl>
    <w:p>
      <w:pPr>
        <w:pStyle w:val="Normal"/>
        <w:spacing w:lineRule="auto" w:line="240" w:before="0" w:after="0"/>
        <w:jc w:val="right"/>
        <w:rPr/>
      </w:pPr>
      <w:r>
        <w:rPr>
          <w:rFonts w:eastAsia="Times New Roman" w:cs="Times New Roman" w:ascii="Times New Roman" w:hAnsi="Times New Roman"/>
          <w:b/>
        </w:rPr>
        <w:t xml:space="preserve">ДОДАТОК </w:t>
      </w:r>
      <w:r>
        <w:rPr>
          <w:rFonts w:eastAsia="Times New Roman" w:cs="Times New Roman" w:ascii="Times New Roman" w:hAnsi="Times New Roman"/>
          <w:b/>
          <w:lang w:val="ru-RU"/>
        </w:rPr>
        <w:t>2</w:t>
      </w:r>
    </w:p>
    <w:p>
      <w:pPr>
        <w:pStyle w:val="Normal"/>
        <w:spacing w:lineRule="auto" w:line="240" w:before="0" w:after="0"/>
        <w:ind w:left="5660" w:firstLine="700"/>
        <w:jc w:val="right"/>
        <w:rPr/>
      </w:pPr>
      <w:r>
        <w:rPr>
          <w:rFonts w:eastAsia="Times New Roman" w:cs="Times New Roman" w:ascii="Times New Roman" w:hAnsi="Times New Roman"/>
          <w:i/>
        </w:rPr>
        <w:t>до тендерної документації</w:t>
      </w:r>
    </w:p>
    <w:p>
      <w:pPr>
        <w:pStyle w:val="Normal"/>
        <w:spacing w:lineRule="auto" w:line="240" w:before="0" w:after="0"/>
        <w:ind w:left="5660" w:firstLine="700"/>
        <w:jc w:val="right"/>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uto" w:line="240" w:before="0" w:after="0"/>
        <w:jc w:val="center"/>
        <w:rPr>
          <w:b/>
          <w:b/>
          <w:bCs/>
        </w:rPr>
      </w:pPr>
      <w:r>
        <w:rPr>
          <w:rFonts w:eastAsia="Times New Roman" w:cs="Times New Roman" w:ascii="Times New Roman" w:hAnsi="Times New Roman"/>
          <w:b/>
          <w:bCs/>
        </w:rPr>
        <w:t>ТЕХНІЧНА СПЕЦИФІКАЦІЯ</w:t>
      </w:r>
    </w:p>
    <w:p>
      <w:pPr>
        <w:pStyle w:val="Normal"/>
        <w:spacing w:lineRule="auto" w:line="240" w:before="0" w:after="0"/>
        <w:ind w:left="5660" w:firstLine="700"/>
        <w:jc w:val="right"/>
        <w:rPr>
          <w:rFonts w:ascii="Times New Roman" w:hAnsi="Times New Roman" w:eastAsia="Times New Roman" w:cs="Times New Roman"/>
          <w:i/>
          <w:i/>
        </w:rPr>
      </w:pPr>
      <w:r>
        <w:rPr>
          <w:rFonts w:eastAsia="Times New Roman" w:cs="Times New Roman" w:ascii="Times New Roman" w:hAnsi="Times New Roman"/>
          <w:i/>
        </w:rPr>
      </w:r>
    </w:p>
    <w:p>
      <w:pPr>
        <w:pStyle w:val="TableParagraph"/>
        <w:ind w:left="182" w:right="171" w:hanging="0"/>
        <w:jc w:val="center"/>
        <w:rPr/>
      </w:pPr>
      <w:bookmarkStart w:id="9" w:name="_GoBack1"/>
      <w:bookmarkEnd w:id="9"/>
      <w:r>
        <w:rPr>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b/>
          <w:bCs/>
          <w:i/>
          <w:iCs/>
          <w:color w:val="000000"/>
          <w:sz w:val="20"/>
          <w:szCs w:val="20"/>
          <w:lang w:eastAsia="uk-UA"/>
        </w:rPr>
        <w:t> </w:t>
      </w:r>
    </w:p>
    <w:p>
      <w:pPr>
        <w:pStyle w:val="TableParagraph"/>
        <w:ind w:left="182" w:right="171" w:hanging="0"/>
        <w:jc w:val="center"/>
        <w:rPr>
          <w:b/>
          <w:b/>
          <w:bCs/>
          <w:i/>
          <w:i/>
          <w:iCs/>
          <w:lang w:eastAsia="uk-UA"/>
        </w:rPr>
      </w:pPr>
      <w:r>
        <w:rPr>
          <w:b/>
          <w:bCs/>
          <w:i/>
          <w:iCs/>
          <w:color w:val="000000"/>
          <w:sz w:val="24"/>
          <w:szCs w:val="24"/>
          <w:lang w:eastAsia="uk-UA"/>
        </w:rPr>
        <w:t>“</w:t>
      </w:r>
      <w:r>
        <w:rPr>
          <w:b/>
          <w:bCs/>
          <w:i/>
          <w:iCs/>
          <w:color w:val="000000"/>
          <w:sz w:val="24"/>
          <w:szCs w:val="24"/>
          <w:lang w:eastAsia="uk-UA"/>
        </w:rPr>
        <w:t>Послуги з повірки та калібрування засобів вимірювальної техніки”</w:t>
      </w:r>
    </w:p>
    <w:p>
      <w:pPr>
        <w:pStyle w:val="TableParagraph"/>
        <w:widowControl/>
        <w:ind w:left="182" w:right="171" w:hanging="0"/>
        <w:jc w:val="center"/>
        <w:rPr/>
      </w:pPr>
      <w:r>
        <w:rPr>
          <w:b/>
          <w:bCs/>
          <w:i/>
          <w:iCs/>
          <w:color w:val="000000"/>
          <w:sz w:val="24"/>
          <w:szCs w:val="24"/>
        </w:rPr>
        <w:t xml:space="preserve">Код  </w:t>
      </w:r>
      <w:r>
        <w:rPr>
          <w:b/>
          <w:bCs/>
          <w:i/>
          <w:iCs/>
          <w:color w:val="000000"/>
          <w:sz w:val="24"/>
          <w:szCs w:val="24"/>
          <w:shd w:fill="FFFFFF" w:val="clear"/>
          <w:lang w:eastAsia="zh-CN" w:bidi="uk-UA"/>
        </w:rPr>
        <w:t>ДК 021:2015: 71630000-3</w:t>
      </w:r>
      <w:r>
        <w:rPr>
          <w:b/>
          <w:bCs/>
          <w:i/>
          <w:iCs/>
          <w:color w:val="777777"/>
          <w:sz w:val="24"/>
          <w:szCs w:val="24"/>
          <w:shd w:fill="FFFFFF" w:val="clear"/>
          <w:lang w:eastAsia="zh-CN" w:bidi="uk-UA"/>
        </w:rPr>
        <w:t> - </w:t>
      </w:r>
      <w:r>
        <w:rPr>
          <w:b/>
          <w:bCs/>
          <w:i/>
          <w:iCs/>
          <w:color w:val="000000"/>
          <w:sz w:val="24"/>
          <w:szCs w:val="24"/>
          <w:shd w:fill="FFFFFF" w:val="clear"/>
          <w:lang w:eastAsia="zh-CN" w:bidi="uk-UA"/>
        </w:rPr>
        <w:t>Послуги з технічного огляду та випробовувань</w:t>
      </w:r>
      <w:r>
        <w:rPr>
          <w:b/>
          <w:bCs/>
          <w:i/>
          <w:iCs/>
          <w:sz w:val="24"/>
          <w:szCs w:val="24"/>
          <w:shd w:fill="FFFFFF" w:val="clear"/>
          <w:lang w:eastAsia="zh-CN" w:bidi="uk-UA"/>
        </w:rPr>
        <w:t xml:space="preserve"> </w:t>
      </w:r>
      <w:r>
        <w:rPr>
          <w:b/>
          <w:bCs/>
          <w:i/>
          <w:iCs/>
          <w:color w:val="000000"/>
          <w:sz w:val="24"/>
          <w:szCs w:val="24"/>
          <w:shd w:fill="FFFFFF" w:val="clear"/>
          <w:lang w:eastAsia="zh-CN" w:bidi="uk-UA"/>
        </w:rPr>
        <w:t xml:space="preserve"> </w:t>
      </w:r>
    </w:p>
    <w:p>
      <w:pPr>
        <w:pStyle w:val="Textbody"/>
        <w:widowControl/>
        <w:spacing w:lineRule="auto" w:line="240" w:before="0" w:after="0"/>
        <w:rPr>
          <w:rFonts w:ascii="Times New Roman" w:hAnsi="Times New Roman"/>
          <w:sz w:val="28"/>
        </w:rPr>
      </w:pPr>
      <w:r>
        <w:rPr>
          <w:rFonts w:ascii="Times New Roman" w:hAnsi="Times New Roman"/>
          <w:sz w:val="28"/>
        </w:rPr>
      </w:r>
    </w:p>
    <w:p>
      <w:pPr>
        <w:pStyle w:val="Textbody"/>
        <w:widowControl/>
        <w:spacing w:lineRule="auto" w:line="240" w:before="0" w:after="0"/>
        <w:jc w:val="both"/>
        <w:rPr>
          <w:rFonts w:ascii="Times New Roman" w:hAnsi="Times New Roman"/>
        </w:rPr>
      </w:pPr>
      <w:r>
        <w:rPr>
          <w:rFonts w:ascii="Times New Roman" w:hAnsi="Times New Roman"/>
        </w:rPr>
        <w:t>1. Технічний огляд та випробовування обладнання проводиться на місці в Замовника, а в окремих випадках, за взаємною домовленістю сторін - на підприємстві Учасника (Виконавця).</w:t>
      </w:r>
    </w:p>
    <w:p>
      <w:pPr>
        <w:pStyle w:val="Textbody"/>
        <w:widowControl/>
        <w:spacing w:lineRule="auto" w:line="240" w:before="0" w:after="0"/>
        <w:jc w:val="both"/>
        <w:rPr>
          <w:rFonts w:ascii="Times New Roman" w:hAnsi="Times New Roman"/>
        </w:rPr>
      </w:pPr>
      <w:r>
        <w:rPr>
          <w:rFonts w:ascii="Times New Roman" w:hAnsi="Times New Roman"/>
        </w:rPr>
        <w:t>2. Роботи щодо технічного огляду та випробовувань проводяться на основі вимог і рекомендацій технічної і експлуатаційної документації кожного виду засобів вимірювальної техніки.</w:t>
      </w:r>
    </w:p>
    <w:p>
      <w:pPr>
        <w:pStyle w:val="Textbody"/>
        <w:widowControl/>
        <w:spacing w:lineRule="auto" w:line="240" w:before="0" w:after="0"/>
        <w:jc w:val="both"/>
        <w:rPr>
          <w:rFonts w:ascii="Times New Roman" w:hAnsi="Times New Roman"/>
        </w:rPr>
      </w:pPr>
      <w:r>
        <w:rPr>
          <w:rFonts w:ascii="Times New Roman" w:hAnsi="Times New Roman"/>
        </w:rPr>
        <w:t>3. Виконавець проводить технічний огляд та випробовування вимірювальної техніки та обладнання відповідно до узгодженого обома сторонами графіку.</w:t>
      </w:r>
    </w:p>
    <w:p>
      <w:pPr>
        <w:pStyle w:val="Textbody"/>
        <w:widowControl/>
        <w:spacing w:lineRule="auto" w:line="240" w:before="0" w:after="0"/>
        <w:jc w:val="both"/>
        <w:rPr>
          <w:rFonts w:ascii="Times New Roman" w:hAnsi="Times New Roman"/>
        </w:rPr>
      </w:pPr>
      <w:r>
        <w:rPr>
          <w:rFonts w:ascii="Times New Roman" w:hAnsi="Times New Roman"/>
        </w:rPr>
        <w:t>4. Замовник вимагає від Учасників подавати пропозиції на весь комплекс робіт з технічного огляду та випробовувань та на весь перелік вимірювальної техніки (обладнання).</w:t>
      </w:r>
    </w:p>
    <w:p>
      <w:pPr>
        <w:pStyle w:val="Textbody"/>
        <w:widowControl/>
        <w:spacing w:lineRule="auto" w:line="240" w:before="0" w:after="0"/>
        <w:jc w:val="both"/>
        <w:rPr>
          <w:rFonts w:ascii="Times New Roman" w:hAnsi="Times New Roman"/>
        </w:rPr>
      </w:pPr>
      <w:r>
        <w:rPr>
          <w:rFonts w:ascii="Times New Roman" w:hAnsi="Times New Roman"/>
        </w:rPr>
        <w:t>5. Результатом надання послуг є видане свідоцтво про повірку засобу вимірювальної техніки (ЗВТ).</w:t>
      </w:r>
    </w:p>
    <w:p>
      <w:pPr>
        <w:pStyle w:val="Textbody"/>
        <w:widowControl/>
        <w:spacing w:lineRule="auto" w:line="240" w:before="0" w:after="0"/>
        <w:jc w:val="both"/>
        <w:rPr>
          <w:rFonts w:ascii="Times New Roman" w:hAnsi="Times New Roman"/>
        </w:rPr>
      </w:pPr>
      <w:r>
        <w:rPr>
          <w:rFonts w:ascii="Times New Roman" w:hAnsi="Times New Roman"/>
        </w:rPr>
        <w:t>6. На обладнання, що підлягає калібрування, видавати сертифікат про калібрування.</w:t>
      </w:r>
    </w:p>
    <w:p>
      <w:pPr>
        <w:pStyle w:val="Textbody"/>
        <w:widowControl/>
        <w:spacing w:lineRule="auto" w:line="240" w:before="0" w:after="0"/>
        <w:jc w:val="both"/>
        <w:rPr>
          <w:rFonts w:ascii="Times New Roman" w:hAnsi="Times New Roman"/>
        </w:rPr>
      </w:pPr>
      <w:r>
        <w:rPr>
          <w:rFonts w:ascii="Times New Roman" w:hAnsi="Times New Roman"/>
        </w:rPr>
        <w:t>7. Надання послуг здійснюється кваліфікованими спеціалістами, які мають відповідні сертифікати та рівні допуску, відповідно до законодавства України.</w:t>
      </w:r>
    </w:p>
    <w:p>
      <w:pPr>
        <w:pStyle w:val="Standard"/>
        <w:widowControl/>
        <w:jc w:val="both"/>
        <w:rPr>
          <w:rFonts w:ascii="Times New Roman" w:hAnsi="Times New Roman"/>
        </w:rPr>
      </w:pPr>
      <w:r>
        <w:rPr>
          <w:rFonts w:ascii="Times New Roman" w:hAnsi="Times New Roman"/>
        </w:rPr>
        <w:t>8. Усі витрати при наданні послуг з метрологічної повірки в тому числі: транспортні витрати, витрати, пов’язані з видачою відповідних Свідоцтва, довідок про повірку, витрати на відрядження, витрати пов’язанні з послугами сторонніх організацій залучених при наданні послуг, тощо покладаються на Учасника (Виконавця) та повинні бути враховані в ціновій пропозиції.</w:t>
      </w:r>
    </w:p>
    <w:p>
      <w:pPr>
        <w:pStyle w:val="Standard"/>
        <w:widowControl/>
        <w:jc w:val="both"/>
        <w:rPr>
          <w:rFonts w:ascii="Times New Roman" w:hAnsi="Times New Roman"/>
        </w:rPr>
      </w:pPr>
      <w:r>
        <w:rPr>
          <w:rFonts w:ascii="Times New Roman" w:hAnsi="Times New Roman"/>
        </w:rPr>
        <w:t>9. Виконавець має надати документальне підтвердження відповідності його еталонної бази вимогам діючих нормативних документів.</w:t>
      </w:r>
    </w:p>
    <w:p>
      <w:pPr>
        <w:pStyle w:val="Standard"/>
        <w:widowControl/>
        <w:jc w:val="both"/>
        <w:rPr>
          <w:rFonts w:ascii="Times New Roman" w:hAnsi="Times New Roman"/>
        </w:rPr>
      </w:pPr>
      <w:r>
        <w:rPr>
          <w:rFonts w:ascii="Times New Roman" w:hAnsi="Times New Roman"/>
        </w:rPr>
      </w:r>
    </w:p>
    <w:tbl>
      <w:tblPr>
        <w:tblW w:w="9361" w:type="dxa"/>
        <w:jc w:val="left"/>
        <w:tblInd w:w="33" w:type="dxa"/>
        <w:tblLayout w:type="fixed"/>
        <w:tblCellMar>
          <w:top w:w="0" w:type="dxa"/>
          <w:left w:w="108" w:type="dxa"/>
          <w:bottom w:w="0" w:type="dxa"/>
          <w:right w:w="108" w:type="dxa"/>
        </w:tblCellMar>
        <w:tblLook w:firstRow="0" w:noVBand="0" w:lastRow="0" w:firstColumn="0" w:lastColumn="0" w:noHBand="0" w:val="0000"/>
      </w:tblPr>
      <w:tblGrid>
        <w:gridCol w:w="812"/>
        <w:gridCol w:w="6096"/>
        <w:gridCol w:w="2448"/>
        <w:gridCol w:w="4"/>
      </w:tblGrid>
      <w:tr>
        <w:trPr/>
        <w:tc>
          <w:tcPr>
            <w:tcW w:w="8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b/>
                <w:b/>
                <w:bCs/>
                <w:lang w:val="ru-RU"/>
              </w:rPr>
            </w:pPr>
            <w:r>
              <w:rPr>
                <w:rFonts w:eastAsia="Times New Roman" w:cs="Times New Roman" w:ascii="Times New Roman" w:hAnsi="Times New Roman"/>
                <w:b/>
                <w:bCs/>
              </w:rPr>
              <w:t>№</w:t>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b/>
                <w:b/>
                <w:bCs/>
                <w:lang w:val="ru-RU"/>
              </w:rPr>
            </w:pPr>
            <w:r>
              <w:rPr>
                <w:rFonts w:eastAsia="Times New Roman" w:cs="Times New Roman" w:ascii="Times New Roman" w:hAnsi="Times New Roman"/>
                <w:b/>
                <w:bCs/>
              </w:rPr>
              <w:t>Назва засобу вимірювальної техніки та умовне позначення</w:t>
            </w:r>
          </w:p>
        </w:tc>
        <w:tc>
          <w:tcPr>
            <w:tcW w:w="2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b/>
                <w:b/>
                <w:bCs/>
                <w:lang w:val="ru-RU"/>
              </w:rPr>
            </w:pPr>
            <w:r>
              <w:rPr>
                <w:rFonts w:eastAsia="Times New Roman" w:cs="Times New Roman" w:ascii="Times New Roman" w:hAnsi="Times New Roman"/>
                <w:b/>
                <w:bCs/>
              </w:rPr>
              <w:t>К-сть шт.</w:t>
            </w:r>
          </w:p>
        </w:tc>
        <w:tc>
          <w:tcPr>
            <w:tcW w:w="4" w:type="dxa"/>
            <w:tcBorders/>
          </w:tcPr>
          <w:p>
            <w:pPr>
              <w:pStyle w:val="Normal"/>
              <w:widowControl w:val="false"/>
              <w:spacing w:before="0" w:after="160"/>
              <w:rPr/>
            </w:pPr>
            <w:r>
              <w:rPr/>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ListParagraph"/>
              <w:widowControl w:val="false"/>
              <w:numPr>
                <w:ilvl w:val="0"/>
                <w:numId w:val="9"/>
              </w:numPr>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t>1</w:t>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скляні ТС-7-М1</w:t>
            </w:r>
          </w:p>
        </w:tc>
        <w:tc>
          <w:tcPr>
            <w:tcW w:w="2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ru-RU"/>
              </w:rPr>
              <w:t>30</w:t>
            </w:r>
          </w:p>
        </w:tc>
        <w:tc>
          <w:tcPr>
            <w:tcW w:w="4" w:type="dxa"/>
            <w:tcBorders/>
          </w:tcPr>
          <w:p>
            <w:pPr>
              <w:pStyle w:val="Normal"/>
              <w:widowControl w:val="false"/>
              <w:spacing w:before="0" w:after="160"/>
              <w:rPr/>
            </w:pPr>
            <w:r>
              <w:rPr/>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ListParagraph"/>
              <w:widowControl w:val="false"/>
              <w:numPr>
                <w:ilvl w:val="0"/>
                <w:numId w:val="9"/>
              </w:numPr>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t>2</w:t>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Фотометр Р М 2111-У (Солар)</w:t>
            </w:r>
          </w:p>
        </w:tc>
        <w:tc>
          <w:tcPr>
            <w:tcW w:w="2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c>
          <w:tcPr>
            <w:tcW w:w="4" w:type="dxa"/>
            <w:tcBorders/>
          </w:tcPr>
          <w:p>
            <w:pPr>
              <w:pStyle w:val="Normal"/>
              <w:widowControl w:val="false"/>
              <w:spacing w:before="0" w:after="160"/>
              <w:rPr/>
            </w:pPr>
            <w:r>
              <w:rPr/>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3</w:t>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Аналізатор біохімічний Ерба</w:t>
            </w:r>
          </w:p>
        </w:tc>
        <w:tc>
          <w:tcPr>
            <w:tcW w:w="2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c>
          <w:tcPr>
            <w:tcW w:w="4" w:type="dxa"/>
            <w:tcBorders/>
          </w:tcPr>
          <w:p>
            <w:pPr>
              <w:pStyle w:val="Normal"/>
              <w:widowControl w:val="false"/>
              <w:spacing w:before="0" w:after="160"/>
              <w:rPr/>
            </w:pPr>
            <w:r>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Аналізатор електролітів  </w:t>
            </w:r>
            <w:r>
              <w:rPr>
                <w:rFonts w:eastAsia="Times New Roman" w:cs="Times New Roman" w:ascii="Times New Roman" w:hAnsi="Times New Roman"/>
                <w:lang w:val="en-US"/>
              </w:rPr>
              <w:t>GE-300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Аналізатор сечі </w:t>
            </w:r>
            <w:r>
              <w:rPr>
                <w:rFonts w:eastAsia="Times New Roman" w:cs="Times New Roman" w:ascii="Times New Roman" w:hAnsi="Times New Roman"/>
                <w:lang w:val="en-US"/>
              </w:rPr>
              <w:t>URI-</w:t>
            </w:r>
            <w:r>
              <w:rPr>
                <w:rFonts w:eastAsia="Times New Roman" w:cs="Times New Roman" w:ascii="Times New Roman" w:hAnsi="Times New Roman"/>
              </w:rPr>
              <w:t>TЕХ</w:t>
            </w:r>
            <w:r>
              <w:rPr>
                <w:rFonts w:eastAsia="Times New Roman" w:cs="Times New Roman" w:ascii="Times New Roman" w:hAnsi="Times New Roman"/>
                <w:lang w:val="en-US"/>
              </w:rPr>
              <w:t>-300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Аналізатор гематологічний  А</w:t>
            </w:r>
            <w:r>
              <w:rPr>
                <w:rFonts w:eastAsia="Times New Roman" w:cs="Times New Roman" w:ascii="Times New Roman" w:hAnsi="Times New Roman"/>
                <w:lang w:val="en-US"/>
              </w:rPr>
              <w:t>Quarius-3</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Електрокардіографи одноканальні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ru-RU"/>
              </w:rPr>
              <w:t>8</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Електрокардіографи трьохканальні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Комплекс електроенцефалографічний  </w:t>
            </w:r>
            <w:r>
              <w:rPr>
                <w:rFonts w:eastAsia="Times New Roman" w:cs="Times New Roman" w:ascii="Times New Roman" w:hAnsi="Times New Roman"/>
                <w:lang w:val="en-US"/>
              </w:rPr>
              <w:t>Brainters</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Комплекс Кардіо+</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Аналізатор біохімічний автоматичний </w:t>
            </w:r>
            <w:r>
              <w:rPr>
                <w:rFonts w:eastAsia="Times New Roman" w:cs="Times New Roman" w:ascii="Times New Roman" w:hAnsi="Times New Roman"/>
                <w:color w:val="000000"/>
                <w:lang w:val="en-US"/>
              </w:rPr>
              <w:t>BS-430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Фотометр Мультіскан ММС/340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ЕКГ по холтеру</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Калібрування суш. Шаф та термостатів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9</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Калібрування центрифуг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Аналізатори парів спирту “Алкотест” та аналогічні </w:t>
            </w:r>
            <w:r>
              <w:rPr>
                <w:rFonts w:eastAsia="Times New Roman" w:cs="Times New Roman" w:ascii="Times New Roman" w:hAnsi="Times New Roman"/>
                <w:lang w:val="ru-RU"/>
              </w:rPr>
              <w:t>‘’</w:t>
            </w:r>
            <w:r>
              <w:rPr>
                <w:rFonts w:eastAsia="Times New Roman" w:cs="Times New Roman" w:ascii="Times New Roman" w:hAnsi="Times New Roman"/>
                <w:lang w:val="en-US"/>
              </w:rPr>
              <w:t>Dr</w:t>
            </w:r>
            <w:r>
              <w:rPr>
                <w:rFonts w:eastAsia="Times New Roman" w:cs="Times New Roman" w:ascii="Times New Roman" w:hAnsi="Times New Roman"/>
                <w:lang w:val="ru-RU"/>
              </w:rPr>
              <w:t>ä</w:t>
            </w:r>
            <w:r>
              <w:rPr>
                <w:rFonts w:eastAsia="Times New Roman" w:cs="Times New Roman" w:ascii="Times New Roman" w:hAnsi="Times New Roman"/>
                <w:lang w:val="en-US"/>
              </w:rPr>
              <w:t>ger</w:t>
            </w:r>
            <w:r>
              <w:rPr>
                <w:rFonts w:eastAsia="Times New Roman" w:cs="Times New Roman" w:ascii="Times New Roman" w:hAnsi="Times New Roman"/>
                <w:lang w:val="ru-RU"/>
              </w:rPr>
              <w:t>’’</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Ультразвукові діагностичні апарати та аналогічні ССА-100А, ССД-500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13</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Електро-кардіодефібрилятори </w:t>
            </w:r>
            <w:r>
              <w:rPr>
                <w:rFonts w:eastAsia="Times New Roman" w:cs="Times New Roman" w:ascii="Times New Roman" w:hAnsi="Times New Roman"/>
                <w:lang w:val="ru-RU"/>
              </w:rPr>
              <w:t xml:space="preserve"> </w:t>
            </w:r>
            <w:r>
              <w:rPr>
                <w:rFonts w:eastAsia="Times New Roman" w:cs="Times New Roman" w:ascii="Times New Roman" w:hAnsi="Times New Roman"/>
              </w:rPr>
              <w:t>усіх</w:t>
            </w:r>
            <w:r>
              <w:rPr>
                <w:rFonts w:eastAsia="Times New Roman" w:cs="Times New Roman" w:ascii="Times New Roman" w:hAnsi="Times New Roman"/>
                <w:lang w:val="ru-RU"/>
              </w:rPr>
              <w:t xml:space="preserve"> типів </w:t>
            </w:r>
            <w:r>
              <w:rPr>
                <w:rFonts w:eastAsia="Times New Roman" w:cs="Times New Roman" w:ascii="Times New Roman" w:hAnsi="Times New Roman"/>
              </w:rPr>
              <w:t>та аналогічні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r>
              <w:rPr>
                <w:rFonts w:eastAsia="Times New Roman" w:cs="Times New Roman" w:ascii="Times New Roman" w:hAnsi="Times New Roman"/>
                <w:lang w:val="en-US"/>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Аналізатор</w:t>
            </w:r>
            <w:r>
              <w:rPr>
                <w:rFonts w:eastAsia="Times New Roman" w:cs="Times New Roman" w:ascii="Times New Roman" w:hAnsi="Times New Roman"/>
                <w:lang w:val="ru-RU"/>
              </w:rPr>
              <w:t xml:space="preserve"> </w:t>
            </w:r>
            <w:r>
              <w:rPr>
                <w:rFonts w:eastAsia="Times New Roman" w:cs="Times New Roman" w:ascii="Times New Roman" w:hAnsi="Times New Roman"/>
              </w:rPr>
              <w:t>Абакус 3 СТ</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rPr>
            </w:pPr>
            <w:r>
              <w:rPr>
                <w:rFonts w:eastAsia="Times New Roman" w:cs="Times New Roman" w:ascii="Times New Roman" w:hAnsi="Times New Roman"/>
                <w:color w:val="000000"/>
              </w:rPr>
              <w:t>Сігналізатори газу Ватра, Інга</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Аналізатор GX-5</w:t>
            </w:r>
            <w:r>
              <w:rPr>
                <w:rFonts w:eastAsia="Times New Roman" w:cs="Times New Roman" w:ascii="Times New Roman" w:hAnsi="Times New Roman"/>
                <w:lang w:val="en-US"/>
              </w:rPr>
              <w:t>R</w:t>
            </w:r>
            <w:r>
              <w:rPr>
                <w:rFonts w:eastAsia="Times New Roman" w:cs="Times New Roman" w:ascii="Times New Roman" w:hAnsi="Times New Roman"/>
              </w:rPr>
              <w:t>2 ПЛР- тестів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медична ВМ-20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ru-RU"/>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платформна до</w:t>
            </w:r>
            <w:r>
              <w:rPr>
                <w:rFonts w:eastAsia="Times New Roman" w:cs="Times New Roman" w:ascii="Times New Roman" w:hAnsi="Times New Roman"/>
                <w:lang w:val="ru-RU"/>
              </w:rPr>
              <w:t xml:space="preserve"> </w:t>
            </w:r>
            <w:r>
              <w:rPr>
                <w:rFonts w:eastAsia="Times New Roman" w:cs="Times New Roman" w:ascii="Times New Roman" w:hAnsi="Times New Roman"/>
              </w:rPr>
              <w:t>500 кг</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 циферблатн-10РН-0-10 настільні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3</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електронна до 150 кг</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медична (механічна) РП-150, ПД-150 (7,5-</w:t>
            </w:r>
            <w:r>
              <w:rPr>
                <w:rFonts w:eastAsia="Times New Roman" w:cs="Times New Roman" w:ascii="Times New Roman" w:hAnsi="Times New Roman"/>
                <w:lang w:val="ru-RU"/>
              </w:rPr>
              <w:t>1</w:t>
            </w:r>
            <w:r>
              <w:rPr>
                <w:rFonts w:eastAsia="Times New Roman" w:cs="Times New Roman" w:ascii="Times New Roman" w:hAnsi="Times New Roman"/>
              </w:rPr>
              <w:t>50 кг)</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електронна ASC-до 40 кг</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медична ІР- 60 кг механічна</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Аналізатор біохімічний АСКЕНТ-240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 xml:space="preserve">Аналізатор імуноферментний НТІ </w:t>
            </w:r>
            <w:r>
              <w:rPr>
                <w:rFonts w:eastAsia="Times New Roman" w:cs="Times New Roman" w:ascii="Times New Roman" w:hAnsi="Times New Roman"/>
                <w:lang w:val="en-US"/>
              </w:rPr>
              <w:t>Immyho</w:t>
            </w:r>
            <w:r>
              <w:rPr>
                <w:rFonts w:eastAsia="Times New Roman" w:cs="Times New Roman" w:ascii="Times New Roman" w:hAnsi="Times New Roman"/>
              </w:rPr>
              <w:t xml:space="preserve"> </w:t>
            </w:r>
            <w:r>
              <w:rPr>
                <w:rFonts w:eastAsia="Times New Roman" w:cs="Times New Roman" w:ascii="Times New Roman" w:hAnsi="Times New Roman"/>
                <w:lang w:val="en-US"/>
              </w:rPr>
              <w:t>Chem</w:t>
            </w:r>
            <w:r>
              <w:rPr>
                <w:rFonts w:eastAsia="Times New Roman" w:cs="Times New Roman" w:ascii="Times New Roman" w:hAnsi="Times New Roman"/>
              </w:rPr>
              <w:t>-2100-2100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Офтальмоскопи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Гирі загального призначення 5,6 кл.</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Сфігмоманометри механічні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85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eastAsia="Times New Roman" w:cs="Times New Roman"/>
                <w:lang w:val="ru-RU"/>
              </w:rPr>
            </w:pPr>
            <w:r>
              <w:rPr>
                <w:rFonts w:eastAsia="Times New Roman" w:cs="Times New Roman" w:ascii="Times New Roman" w:hAnsi="Times New Roman"/>
              </w:rPr>
              <w:t>Сигналізатори газу Страж</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Манометри МВПЗУ-У до 60 МПА</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71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Манометри  електроконтактні ЕКВ, ЕКМ</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10</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контрольні до 300</w:t>
            </w:r>
            <w:r>
              <w:rPr>
                <w:rFonts w:eastAsia="Times New Roman" w:cs="Times New Roman" w:ascii="Times New Roman" w:hAnsi="Times New Roman"/>
                <w:vertAlign w:val="superscript"/>
              </w:rPr>
              <w:t>о</w:t>
            </w:r>
            <w:r>
              <w:rPr>
                <w:rFonts w:eastAsia="Times New Roman" w:cs="Times New Roman" w:ascii="Times New Roman" w:hAnsi="Times New Roman"/>
              </w:rPr>
              <w:t>С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15</w:t>
            </w:r>
          </w:p>
        </w:tc>
      </w:tr>
      <w:tr>
        <w:trPr/>
        <w:tc>
          <w:tcPr>
            <w:tcW w:w="812" w:type="dxa"/>
            <w:tcBorders>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інфрачервоні (Пірометри)</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67</w:t>
            </w:r>
          </w:p>
        </w:tc>
      </w:tr>
      <w:tr>
        <w:trPr/>
        <w:tc>
          <w:tcPr>
            <w:tcW w:w="812" w:type="dxa"/>
            <w:tcBorders>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Ареометри-реометри</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3</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електроконтактні усіх до 200</w:t>
            </w:r>
            <w:r>
              <w:rPr>
                <w:rFonts w:eastAsia="Times New Roman" w:cs="Times New Roman" w:ascii="Times New Roman" w:hAnsi="Times New Roman"/>
                <w:vertAlign w:val="superscript"/>
              </w:rPr>
              <w:t>о</w:t>
            </w:r>
            <w:r>
              <w:rPr>
                <w:rFonts w:eastAsia="Times New Roman" w:cs="Times New Roman" w:ascii="Times New Roman" w:hAnsi="Times New Roman"/>
              </w:rPr>
              <w:t>С</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лабор. скляні до 120</w:t>
            </w:r>
            <w:r>
              <w:rPr>
                <w:rFonts w:eastAsia="Times New Roman" w:cs="Times New Roman" w:ascii="Times New Roman" w:hAnsi="Times New Roman"/>
                <w:vertAlign w:val="superscript"/>
              </w:rPr>
              <w:t>о</w:t>
            </w:r>
            <w:r>
              <w:rPr>
                <w:rFonts w:eastAsia="Times New Roman" w:cs="Times New Roman" w:ascii="Times New Roman" w:hAnsi="Times New Roman"/>
              </w:rPr>
              <w:t>С,</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lang w:val="ru-RU"/>
              </w:rPr>
            </w:pPr>
            <w:r>
              <w:rPr>
                <w:rFonts w:eastAsia="Times New Roman" w:cs="Times New Roman" w:ascii="Times New Roman" w:hAnsi="Times New Roman"/>
              </w:rPr>
              <w:t>Термометри технічні усіх типів до 55</w:t>
            </w:r>
            <w:r>
              <w:rPr>
                <w:rFonts w:eastAsia="Times New Roman" w:cs="Times New Roman" w:ascii="Times New Roman" w:hAnsi="Times New Roman"/>
                <w:vertAlign w:val="superscript"/>
              </w:rPr>
              <w:t>о</w:t>
            </w:r>
            <w:r>
              <w:rPr>
                <w:rFonts w:eastAsia="Times New Roman" w:cs="Times New Roman" w:ascii="Times New Roman" w:hAnsi="Times New Roman"/>
              </w:rPr>
              <w:t>С,</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Дозатор автоматичний Віоніт</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Моновакууметри робочі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Дозатор піпетко вий</w:t>
            </w:r>
            <w:r>
              <w:rPr>
                <w:rFonts w:eastAsia="Times New Roman" w:cs="Times New Roman" w:ascii="Times New Roman" w:hAnsi="Times New Roman"/>
                <w:lang w:val="ru-RU"/>
              </w:rPr>
              <w:t xml:space="preserve"> </w:t>
            </w:r>
            <w:r>
              <w:rPr>
                <w:rFonts w:eastAsia="Times New Roman" w:cs="Times New Roman" w:ascii="Times New Roman" w:hAnsi="Times New Roman"/>
                <w:lang w:val="en-US"/>
              </w:rPr>
              <w:t>F</w:t>
            </w:r>
            <w:r>
              <w:rPr>
                <w:rFonts w:eastAsia="Times New Roman" w:cs="Times New Roman" w:ascii="Times New Roman" w:hAnsi="Times New Roman"/>
              </w:rPr>
              <w:t xml:space="preserve"> </w:t>
            </w:r>
            <w:r>
              <w:rPr>
                <w:rFonts w:eastAsia="Times New Roman" w:cs="Times New Roman" w:ascii="Times New Roman" w:hAnsi="Times New Roman"/>
                <w:lang w:val="ru-RU"/>
              </w:rPr>
              <w:t>(8</w:t>
            </w:r>
            <w:r>
              <w:rPr>
                <w:rFonts w:eastAsia="Times New Roman" w:cs="Times New Roman" w:ascii="Times New Roman" w:hAnsi="Times New Roman"/>
              </w:rPr>
              <w:t>-</w:t>
            </w:r>
            <w:r>
              <w:rPr>
                <w:rFonts w:eastAsia="Times New Roman" w:cs="Times New Roman" w:ascii="Times New Roman" w:hAnsi="Times New Roman"/>
                <w:lang w:val="ru-RU"/>
              </w:rPr>
              <w:t>канальн</w:t>
            </w:r>
            <w:r>
              <w:rPr>
                <w:rFonts w:eastAsia="Times New Roman" w:cs="Times New Roman" w:ascii="Times New Roman" w:hAnsi="Times New Roman"/>
              </w:rPr>
              <w:t>ий</w:t>
            </w:r>
            <w:r>
              <w:rPr>
                <w:rFonts w:eastAsia="Times New Roman" w:cs="Times New Roman" w:ascii="Times New Roman" w:hAnsi="Times New Roman"/>
                <w:lang w:val="ru-RU"/>
              </w:rPr>
              <w:t>)</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Тягонапороміри, робочі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Коагулятор </w:t>
            </w:r>
            <w:r>
              <w:rPr>
                <w:rFonts w:eastAsia="Times New Roman" w:cs="Times New Roman" w:ascii="Times New Roman" w:hAnsi="Times New Roman"/>
                <w:lang w:val="en-US"/>
              </w:rPr>
              <w:t>Coag2D</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Дозатори пипеткові ВІОНІТ</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Фотоелектроколориметри усіх типів К Ф К</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3</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Фотоелектроколориметри усіх типів КФ К-2МП</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lang w:val="ru-RU"/>
              </w:rPr>
            </w:pPr>
            <w:r>
              <w:rPr>
                <w:rFonts w:eastAsia="Times New Roman" w:cs="Times New Roman" w:ascii="Times New Roman" w:hAnsi="Times New Roman"/>
              </w:rPr>
              <w:t>Аналізатор гематологічний</w:t>
            </w:r>
            <w:r>
              <w:rPr>
                <w:rFonts w:eastAsia="Times New Roman" w:cs="Times New Roman" w:ascii="Times New Roman" w:hAnsi="Times New Roman"/>
                <w:lang w:val="ru-RU"/>
              </w:rPr>
              <w:t xml:space="preserve"> </w:t>
            </w:r>
            <w:r>
              <w:rPr>
                <w:rFonts w:eastAsia="Times New Roman" w:cs="Times New Roman" w:ascii="Times New Roman" w:hAnsi="Times New Roman"/>
              </w:rPr>
              <w:t>Абакус 3 СТ</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rFonts w:ascii="Times New Roman" w:hAnsi="Times New Roman" w:eastAsia="Times New Roman" w:cs="Times New Roman"/>
              </w:rPr>
            </w:pPr>
            <w:r>
              <w:rPr>
                <w:rFonts w:eastAsia="Times New Roman" w:cs="Times New Roman" w:ascii="Times New Roman" w:hAnsi="Times New Roman"/>
              </w:rPr>
              <w:t xml:space="preserve">Аналізатор  сечі </w:t>
            </w:r>
            <w:r>
              <w:rPr>
                <w:rFonts w:eastAsia="Times New Roman" w:cs="Times New Roman" w:ascii="Times New Roman" w:hAnsi="Times New Roman"/>
                <w:lang w:val="en-US"/>
              </w:rPr>
              <w:t>Laxema</w:t>
            </w:r>
            <w:r>
              <w:rPr>
                <w:rFonts w:eastAsia="Times New Roman" w:cs="Times New Roman" w:ascii="Times New Roman" w:hAnsi="Times New Roman"/>
              </w:rPr>
              <w:t xml:space="preserve"> </w:t>
            </w:r>
            <w:r>
              <w:rPr>
                <w:rFonts w:eastAsia="Times New Roman" w:cs="Times New Roman" w:ascii="Times New Roman" w:hAnsi="Times New Roman"/>
                <w:lang w:val="en-US"/>
              </w:rPr>
              <w:t>Laura</w:t>
            </w:r>
            <w:r>
              <w:rPr>
                <w:rFonts w:eastAsia="Times New Roman" w:cs="Times New Roman" w:ascii="Times New Roman" w:hAnsi="Times New Roman"/>
              </w:rPr>
              <w:t xml:space="preserve"> </w:t>
            </w:r>
            <w:r>
              <w:rPr>
                <w:rFonts w:eastAsia="Times New Roman" w:cs="Times New Roman" w:ascii="Times New Roman" w:hAnsi="Times New Roman"/>
                <w:lang w:val="en-US"/>
              </w:rPr>
              <w:t>Smart</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rFonts w:ascii="Times New Roman" w:hAnsi="Times New Roman" w:eastAsia="Times New Roman" w:cs="Times New Roman"/>
                <w:lang w:val="ru-RU"/>
              </w:rPr>
            </w:pPr>
            <w:r>
              <w:rPr>
                <w:rFonts w:eastAsia="Times New Roman" w:cs="Times New Roman" w:ascii="Times New Roman" w:hAnsi="Times New Roman"/>
              </w:rPr>
              <w:t>Фотометр</w:t>
            </w:r>
            <w:r>
              <w:rPr>
                <w:rFonts w:eastAsia="Times New Roman" w:cs="Times New Roman" w:ascii="Times New Roman" w:hAnsi="Times New Roman"/>
                <w:lang w:val="en-US"/>
              </w:rPr>
              <w:t xml:space="preserve"> </w:t>
            </w:r>
            <w:r>
              <w:rPr>
                <w:rFonts w:eastAsia="Times New Roman" w:cs="Times New Roman" w:ascii="Times New Roman" w:hAnsi="Times New Roman"/>
              </w:rPr>
              <w:t>РМ-2111У</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rFonts w:ascii="Times New Roman" w:hAnsi="Times New Roman" w:eastAsia="Times New Roman" w:cs="Times New Roman"/>
                <w:lang w:val="ru-RU"/>
              </w:rPr>
            </w:pPr>
            <w:r>
              <w:rPr>
                <w:rFonts w:eastAsia="Times New Roman" w:cs="Times New Roman" w:ascii="Times New Roman" w:hAnsi="Times New Roman"/>
              </w:rPr>
              <w:t xml:space="preserve">Коагулятор </w:t>
            </w:r>
            <w:r>
              <w:rPr>
                <w:rFonts w:eastAsia="Times New Roman" w:cs="Times New Roman" w:ascii="Times New Roman" w:hAnsi="Times New Roman"/>
                <w:lang w:val="en-US"/>
              </w:rPr>
              <w:t>Coag2/D</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rFonts w:ascii="Times New Roman" w:hAnsi="Times New Roman" w:eastAsia="Times New Roman" w:cs="Times New Roman"/>
                <w:lang w:val="ru-RU"/>
              </w:rPr>
            </w:pPr>
            <w:r>
              <w:rPr>
                <w:rFonts w:eastAsia="Times New Roman" w:cs="Times New Roman" w:ascii="Times New Roman" w:hAnsi="Times New Roman"/>
                <w:lang w:val="ru-RU"/>
              </w:rPr>
              <w:t>Анал</w:t>
            </w:r>
            <w:r>
              <w:rPr>
                <w:rFonts w:eastAsia="Times New Roman" w:cs="Times New Roman" w:ascii="Times New Roman" w:hAnsi="Times New Roman"/>
              </w:rPr>
              <w:t>і</w:t>
            </w:r>
            <w:r>
              <w:rPr>
                <w:rFonts w:eastAsia="Times New Roman" w:cs="Times New Roman" w:ascii="Times New Roman" w:hAnsi="Times New Roman"/>
                <w:lang w:val="ru-RU"/>
              </w:rPr>
              <w:t>затор</w:t>
            </w:r>
            <w:r>
              <w:rPr>
                <w:rFonts w:eastAsia="Times New Roman" w:cs="Times New Roman" w:ascii="Times New Roman" w:hAnsi="Times New Roman"/>
              </w:rPr>
              <w:t xml:space="preserve"> </w:t>
            </w:r>
            <w:r>
              <w:rPr>
                <w:rFonts w:eastAsia="Times New Roman" w:cs="Times New Roman" w:ascii="Times New Roman" w:hAnsi="Times New Roman"/>
                <w:lang w:val="ru-RU"/>
              </w:rPr>
              <w:t>б</w:t>
            </w:r>
            <w:r>
              <w:rPr>
                <w:rFonts w:eastAsia="Times New Roman" w:cs="Times New Roman" w:ascii="Times New Roman" w:hAnsi="Times New Roman"/>
              </w:rPr>
              <w:t>і</w:t>
            </w:r>
            <w:r>
              <w:rPr>
                <w:rFonts w:eastAsia="Times New Roman" w:cs="Times New Roman" w:ascii="Times New Roman" w:hAnsi="Times New Roman"/>
                <w:lang w:val="ru-RU"/>
              </w:rPr>
              <w:t>ох</w:t>
            </w:r>
            <w:r>
              <w:rPr>
                <w:rFonts w:eastAsia="Times New Roman" w:cs="Times New Roman" w:ascii="Times New Roman" w:hAnsi="Times New Roman"/>
              </w:rPr>
              <w:t>і</w:t>
            </w:r>
            <w:r>
              <w:rPr>
                <w:rFonts w:eastAsia="Times New Roman" w:cs="Times New Roman" w:ascii="Times New Roman" w:hAnsi="Times New Roman"/>
                <w:lang w:val="ru-RU"/>
              </w:rPr>
              <w:t>м</w:t>
            </w:r>
            <w:r>
              <w:rPr>
                <w:rFonts w:eastAsia="Times New Roman" w:cs="Times New Roman" w:ascii="Times New Roman" w:hAnsi="Times New Roman"/>
              </w:rPr>
              <w:t>і</w:t>
            </w:r>
            <w:r>
              <w:rPr>
                <w:rFonts w:eastAsia="Times New Roman" w:cs="Times New Roman" w:ascii="Times New Roman" w:hAnsi="Times New Roman"/>
                <w:lang w:val="ru-RU"/>
              </w:rPr>
              <w:t xml:space="preserve">чний </w:t>
            </w:r>
            <w:r>
              <w:rPr>
                <w:rFonts w:eastAsia="Times New Roman" w:cs="Times New Roman" w:ascii="Times New Roman" w:hAnsi="Times New Roman"/>
              </w:rPr>
              <w:t xml:space="preserve">(СХЕМ-7) </w:t>
            </w:r>
            <w:r>
              <w:rPr>
                <w:rFonts w:eastAsia="Times New Roman" w:cs="Times New Roman" w:ascii="Times New Roman" w:hAnsi="Times New Roman"/>
                <w:lang w:val="ru-RU"/>
              </w:rPr>
              <w:t>Ерба</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Аналізатор імуноферментний-НТІ ІmmunoCh (ІФА)(6100)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Апарати гальванізаціі низькочастотні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Монітори пацієнта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30</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Монітори пацієнта маленькі(2 датчіки)</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10</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Пульсоксиметри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55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Аппарати магнітотераріі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8</w:t>
            </w:r>
          </w:p>
        </w:tc>
      </w:tr>
      <w:tr>
        <w:trPr/>
        <w:tc>
          <w:tcPr>
            <w:tcW w:w="812" w:type="dxa"/>
            <w:tcBorders>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Апарати ультровисокочастотної терапіі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w:t>
            </w:r>
            <w:r>
              <w:rPr>
                <w:rFonts w:eastAsia="Times New Roman" w:cs="Times New Roman" w:ascii="Times New Roman" w:hAnsi="Times New Roman"/>
                <w:lang w:val="en-US"/>
              </w:rPr>
              <w:t xml:space="preserve"> </w:t>
            </w:r>
            <w:r>
              <w:rPr>
                <w:rFonts w:eastAsia="Times New Roman" w:cs="Times New Roman" w:ascii="Times New Roman" w:hAnsi="Times New Roman"/>
              </w:rPr>
              <w:t xml:space="preserve"> усіх типів 100</w:t>
            </w:r>
            <w:r>
              <w:rPr>
                <w:rFonts w:eastAsia="Times New Roman" w:cs="Times New Roman" w:ascii="Times New Roman" w:hAnsi="Times New Roman"/>
                <w:lang w:val="ru-RU"/>
              </w:rPr>
              <w:t>°</w:t>
            </w:r>
            <w:r>
              <w:rPr>
                <w:rFonts w:eastAsia="Times New Roman" w:cs="Times New Roman" w:ascii="Times New Roman" w:hAnsi="Times New Roman"/>
              </w:rPr>
              <w:t>С</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8</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усіх типів до 200</w:t>
            </w:r>
            <w:r>
              <w:rPr>
                <w:rFonts w:eastAsia="Times New Roman" w:cs="Times New Roman" w:ascii="Times New Roman" w:hAnsi="Times New Roman"/>
                <w:lang w:val="ru-RU"/>
              </w:rPr>
              <w:t>°</w:t>
            </w:r>
            <w:r>
              <w:rPr>
                <w:rFonts w:eastAsia="Times New Roman" w:cs="Times New Roman" w:ascii="Times New Roman" w:hAnsi="Times New Roman"/>
              </w:rPr>
              <w:t>С скляні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манометричні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8</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Дозатори піпеткові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Дозатори піпеткові </w:t>
            </w:r>
            <w:r>
              <w:rPr>
                <w:rFonts w:eastAsia="Times New Roman" w:cs="Times New Roman" w:ascii="Times New Roman" w:hAnsi="Times New Roman"/>
                <w:lang w:val="en-US"/>
              </w:rPr>
              <w:t>F</w:t>
            </w:r>
            <w:r>
              <w:rPr>
                <w:rFonts w:eastAsia="Times New Roman" w:cs="Times New Roman" w:ascii="Times New Roman" w:hAnsi="Times New Roman"/>
                <w:lang w:val="ru-RU"/>
              </w:rPr>
              <w:t xml:space="preserve"> восьми канальний</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Гігрометри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125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Натискомір</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Лічильник води</w:t>
            </w:r>
            <w:r>
              <w:rPr>
                <w:rFonts w:eastAsia="Times New Roman" w:cs="Times New Roman" w:ascii="Times New Roman" w:hAnsi="Times New Roman"/>
                <w:lang w:val="ru-RU"/>
              </w:rPr>
              <w:t xml:space="preserve"> </w:t>
            </w:r>
            <w:r>
              <w:rPr>
                <w:rFonts w:eastAsia="Times New Roman" w:cs="Times New Roman" w:ascii="Times New Roman" w:hAnsi="Times New Roman"/>
              </w:rPr>
              <w:t>КВ-15 (побутові)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Комплекс електроенцефалографічний комп’ютерний «</w:t>
            </w:r>
            <w:r>
              <w:rPr>
                <w:rFonts w:eastAsia="Times New Roman" w:cs="Times New Roman" w:ascii="Times New Roman" w:hAnsi="Times New Roman"/>
                <w:lang w:val="en-US"/>
              </w:rPr>
              <w:t>BRAІNTEST”</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Електрокардіограф Сонмед та аналогічні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Електролічильники трьохфазні: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8</w:t>
            </w:r>
          </w:p>
        </w:tc>
      </w:tr>
      <w:tr>
        <w:trPr/>
        <w:tc>
          <w:tcPr>
            <w:tcW w:w="812" w:type="dxa"/>
            <w:tcBorders>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Електролічильники однофазні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lang w:val="ru-RU"/>
              </w:rPr>
            </w:pPr>
            <w:r>
              <w:rPr>
                <w:rFonts w:eastAsia="Times New Roman" w:cs="Times New Roman" w:ascii="Times New Roman" w:hAnsi="Times New Roman"/>
              </w:rPr>
              <w:t>Газові лічильники: побутові: Г-6 Октава</w:t>
            </w:r>
          </w:p>
          <w:p>
            <w:pPr>
              <w:pStyle w:val="Normal"/>
              <w:widowControl w:val="false"/>
              <w:spacing w:before="0" w:after="0"/>
              <w:jc w:val="both"/>
              <w:rPr>
                <w:rFonts w:ascii="Times New Roman" w:hAnsi="Times New Roman" w:eastAsia="Times New Roman" w:cs="Times New Roman"/>
                <w:lang w:val="ru-RU"/>
              </w:rPr>
            </w:pPr>
            <w:r>
              <w:rPr>
                <w:rFonts w:eastAsia="Times New Roman" w:cs="Times New Roman" w:ascii="Times New Roman" w:hAnsi="Times New Roman"/>
              </w:rPr>
              <w:t>№</w:t>
            </w:r>
            <w:r>
              <w:rPr>
                <w:rFonts w:eastAsia="Times New Roman" w:cs="Times New Roman" w:ascii="Times New Roman" w:hAnsi="Times New Roman"/>
              </w:rPr>
              <w:t>057311, Метрикс №000744, Октава</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Газовий лічильник  промисловий</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Манометри кисневі робочі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75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 біметалевий</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3</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Сигналізатор газу усіх  Лелека та аналогічні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Лічильники води побутові:     КВ-1,5</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Лічильники води  ЛЛ—32х,СТВ-80-промислові та аналогічні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Імунофлуорисцентний аналізатор </w:t>
            </w:r>
            <w:r>
              <w:rPr>
                <w:rFonts w:eastAsia="Times New Roman" w:cs="Times New Roman" w:ascii="Times New Roman" w:hAnsi="Times New Roman"/>
                <w:color w:val="000000"/>
                <w:lang w:val="en-US"/>
              </w:rPr>
              <w:t>Getein 1100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1</w:t>
            </w:r>
            <w:bookmarkStart w:id="10" w:name="_Hlk161080485"/>
            <w:bookmarkEnd w:id="10"/>
          </w:p>
        </w:tc>
      </w:tr>
    </w:tbl>
    <w:p>
      <w:pPr>
        <w:pStyle w:val="Standard"/>
        <w:widowControl/>
        <w:jc w:val="both"/>
        <w:rPr>
          <w:rFonts w:ascii="Times New Roman" w:hAnsi="Times New Roman"/>
          <w:color w:val="FF0000"/>
        </w:rPr>
      </w:pPr>
      <w:r>
        <w:rPr>
          <w:rFonts w:ascii="Times New Roman" w:hAnsi="Times New Roman"/>
          <w:color w:val="FF0000"/>
        </w:rPr>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pPr>
      <w:r>
        <w:rPr>
          <w:rFonts w:eastAsia="Times New Roman" w:cs="Times New Roman" w:ascii="Times New Roman" w:hAnsi="Times New Roman"/>
          <w:b/>
          <w:color w:val="000000"/>
          <w:sz w:val="24"/>
          <w:szCs w:val="24"/>
        </w:rPr>
        <w:t>ДОДАТОК  3</w:t>
      </w:r>
    </w:p>
    <w:p>
      <w:pPr>
        <w:pStyle w:val="Normal"/>
        <w:ind w:left="5660" w:hanging="0"/>
        <w:jc w:val="right"/>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ind w:firstLine="567"/>
        <w:jc w:val="center"/>
        <w:rPr/>
      </w:pPr>
      <w:r>
        <w:rPr>
          <w:rFonts w:ascii="Times New Roman" w:hAnsi="Times New Roman"/>
          <w:b/>
          <w:color w:val="000000"/>
          <w:sz w:val="28"/>
          <w:szCs w:val="28"/>
        </w:rPr>
        <w:t>ПРОЄКТ ДОГОВОРУ</w:t>
      </w:r>
    </w:p>
    <w:p>
      <w:pPr>
        <w:pStyle w:val="Normal"/>
        <w:spacing w:before="0" w:after="160"/>
        <w:ind w:firstLine="567"/>
        <w:jc w:val="center"/>
        <w:rPr/>
      </w:pPr>
      <w:r>
        <w:rPr>
          <w:rFonts w:ascii="Times New Roman" w:hAnsi="Times New Roman"/>
          <w:b/>
          <w:color w:val="000000"/>
          <w:sz w:val="24"/>
          <w:szCs w:val="24"/>
          <w:lang w:eastAsia="zh-CN"/>
        </w:rPr>
        <w:t>Оприлюднено в окремому файлі</w:t>
      </w:r>
    </w:p>
    <w:sectPr>
      <w:headerReference w:type="even" r:id="rId10"/>
      <w:headerReference w:type="default" r:id="rId11"/>
      <w:footerReference w:type="even" r:id="rId12"/>
      <w:footerReference w:type="default" r:id="rId13"/>
      <w:type w:val="nextPage"/>
      <w:pgSz w:w="11906" w:h="16838"/>
      <w:pgMar w:left="1417" w:right="850" w:gutter="0" w:header="0" w:top="850" w:footer="708" w:bottom="765"/>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4"/>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lvl w:ilvl="0">
      <w:start w:val="1"/>
      <w:numFmt w:val="bullet"/>
      <w:lvlText w:val="-"/>
      <w:lvlJc w:val="left"/>
      <w:pPr>
        <w:tabs>
          <w:tab w:val="num" w:pos="0"/>
        </w:tabs>
        <w:ind w:left="720" w:hanging="360"/>
      </w:pPr>
      <w:rPr>
        <w:rFonts w:ascii="OpenSymbol" w:hAnsi="OpenSymbol" w:cs="OpenSymbol" w:hint="default"/>
        <w:sz w:val="24"/>
        <w:szCs w:val="24"/>
        <w:color w:val="auto"/>
        <w:lang w:val="uk-UA"/>
      </w:rPr>
    </w:lvl>
    <w:lvl w:ilvl="1">
      <w:start w:val="1"/>
      <w:numFmt w:val="bullet"/>
      <w:lvlText w:val="-"/>
      <w:lvlJc w:val="left"/>
      <w:pPr>
        <w:tabs>
          <w:tab w:val="num" w:pos="0"/>
        </w:tabs>
        <w:ind w:left="1440" w:hanging="360"/>
      </w:pPr>
      <w:rPr>
        <w:rFonts w:ascii="OpenSymbol" w:hAnsi="OpenSymbol" w:cs="OpenSymbol" w:hint="default"/>
        <w:sz w:val="24"/>
        <w:szCs w:val="24"/>
      </w:rPr>
    </w:lvl>
    <w:lvl w:ilvl="2">
      <w:start w:val="1"/>
      <w:numFmt w:val="bullet"/>
      <w:lvlText w:val="-"/>
      <w:lvlJc w:val="left"/>
      <w:pPr>
        <w:tabs>
          <w:tab w:val="num" w:pos="0"/>
        </w:tabs>
        <w:ind w:left="2160" w:hanging="360"/>
      </w:pPr>
      <w:rPr>
        <w:rFonts w:ascii="OpenSymbol" w:hAnsi="OpenSymbol" w:cs="OpenSymbol" w:hint="default"/>
        <w:sz w:val="24"/>
        <w:u w:val="single"/>
        <w:szCs w:val="24"/>
      </w:rPr>
    </w:lvl>
    <w:lvl w:ilvl="3">
      <w:start w:val="1"/>
      <w:numFmt w:val="bullet"/>
      <w:lvlText w:val="-"/>
      <w:lvlJc w:val="left"/>
      <w:pPr>
        <w:tabs>
          <w:tab w:val="num" w:pos="0"/>
        </w:tabs>
        <w:ind w:left="2880" w:hanging="360"/>
      </w:pPr>
      <w:rPr>
        <w:rFonts w:ascii="OpenSymbol" w:hAnsi="OpenSymbol" w:cs="OpenSymbol" w:hint="default"/>
        <w:bCs/>
        <w:color w:val="000000"/>
      </w:rPr>
    </w:lvl>
    <w:lvl w:ilvl="4">
      <w:start w:val="1"/>
      <w:numFmt w:val="bullet"/>
      <w:lvlText w:val="-"/>
      <w:lvlJc w:val="left"/>
      <w:pPr>
        <w:tabs>
          <w:tab w:val="num" w:pos="0"/>
        </w:tabs>
        <w:ind w:left="3600" w:hanging="360"/>
      </w:pPr>
      <w:rPr>
        <w:rFonts w:ascii="OpenSymbol" w:hAnsi="OpenSymbol" w:cs="OpenSymbol" w:hint="default"/>
        <w:smallCaps w:val="false"/>
        <w:caps w:val="false"/>
        <w:dstrike w:val="false"/>
        <w:strike w:val="false"/>
        <w:sz w:val="21"/>
        <w:spacing w:val="0"/>
        <w:i w:val="false"/>
        <w:u w:val="none"/>
        <w:b w:val="false"/>
        <w:effect w:val="none"/>
        <w:highlight w:val="white"/>
        <w:color w:val="000000"/>
        <w:lang w:eastAsia="en-US"/>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9"/>
  <w:defaultTabStop w:val="708"/>
  <w:autoHyphenation w:val="true"/>
  <w:evenAndOddHeaders/>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pPr>
      <w:keepNext w:val="true"/>
      <w:keepLines/>
      <w:spacing w:before="480" w:after="0"/>
      <w:outlineLvl w:val="0"/>
    </w:pPr>
    <w:rPr>
      <w:rFonts w:ascii="Cambria" w:hAnsi="Cambria" w:cs="Tahoma"/>
      <w:b/>
      <w:bCs/>
      <w:color w:val="365F91"/>
      <w:sz w:val="28"/>
      <w:szCs w:val="28"/>
    </w:rPr>
  </w:style>
  <w:style w:type="paragraph" w:styleId="2">
    <w:name w:val="Heading 2"/>
    <w:basedOn w:val="Normal"/>
    <w:qFormat/>
    <w:pPr>
      <w:spacing w:lineRule="auto" w:line="240" w:before="280" w:after="280"/>
      <w:outlineLvl w:val="1"/>
    </w:pPr>
    <w:rPr>
      <w:rFonts w:ascii="Times New Roman" w:hAnsi="Times New Roman" w:eastAsia="Times New Roman" w:cs="Times New Roman"/>
      <w:b/>
      <w:bCs/>
      <w:sz w:val="36"/>
      <w:szCs w:val="36"/>
      <w:lang w:val="ru-RU"/>
    </w:rPr>
  </w:style>
  <w:style w:type="character" w:styleId="DefaultParagraphFont" w:default="1">
    <w:name w:val="Default Paragraph Font"/>
    <w:uiPriority w:val="1"/>
    <w:semiHidden/>
    <w:unhideWhenUsed/>
    <w:qFormat/>
    <w:rPr/>
  </w:style>
  <w:style w:type="character" w:styleId="Style12" w:customStyle="1">
    <w:name w:val="Гіперпосилання"/>
    <w:basedOn w:val="DefaultParagraphFont"/>
    <w:qFormat/>
    <w:rPr>
      <w:color w:val="0000FF"/>
      <w:u w:val="single"/>
    </w:rPr>
  </w:style>
  <w:style w:type="character" w:styleId="21" w:customStyle="1">
    <w:name w:val="Основной текст с отступом 2 Знак1"/>
    <w:basedOn w:val="DefaultParagraphFont"/>
    <w:link w:val="20"/>
    <w:qFormat/>
    <w:rPr>
      <w:rFonts w:ascii="Times New Roman" w:hAnsi="Times New Roman" w:eastAsia="Times New Roman" w:cs="Times New Roman"/>
      <w:b/>
      <w:bCs/>
      <w:sz w:val="36"/>
      <w:szCs w:val="36"/>
      <w:lang w:eastAsia="ru-RU"/>
    </w:rPr>
  </w:style>
  <w:style w:type="character" w:styleId="Style13" w:customStyle="1">
    <w:name w:val="Текст выноски Знак"/>
    <w:basedOn w:val="DefaultParagraphFont"/>
    <w:qFormat/>
    <w:rPr>
      <w:rFonts w:ascii="Tahoma" w:hAnsi="Tahoma" w:eastAsia="Calibri" w:cs="Tahoma"/>
      <w:sz w:val="16"/>
      <w:szCs w:val="16"/>
      <w:lang w:val="uk-UA" w:eastAsia="ru-RU"/>
    </w:rPr>
  </w:style>
  <w:style w:type="character" w:styleId="22" w:customStyle="1">
    <w:name w:val="Основной текст с отступом 2 Знак"/>
    <w:basedOn w:val="DefaultParagraphFont"/>
    <w:qFormat/>
    <w:rPr>
      <w:rFonts w:ascii="Calibri" w:hAnsi="Calibri" w:eastAsia="Times New Roman" w:cs="Times New Roman"/>
    </w:rPr>
  </w:style>
  <w:style w:type="character" w:styleId="11" w:customStyle="1">
    <w:name w:val="Заголовок 1 Знак"/>
    <w:basedOn w:val="DefaultParagraphFont"/>
    <w:qFormat/>
    <w:rPr>
      <w:rFonts w:ascii="Cambria" w:hAnsi="Cambria" w:eastAsia="Calibri" w:cs="Tahoma"/>
      <w:b/>
      <w:bCs/>
      <w:color w:val="365F91"/>
      <w:sz w:val="28"/>
      <w:szCs w:val="28"/>
      <w:lang w:val="uk-UA" w:eastAsia="ru-RU"/>
    </w:rPr>
  </w:style>
  <w:style w:type="character" w:styleId="Style14" w:customStyle="1">
    <w:name w:val="Верхний колонтитул Знак"/>
    <w:basedOn w:val="DefaultParagraphFont"/>
    <w:qFormat/>
    <w:rPr>
      <w:rFonts w:ascii="Times New Roman" w:hAnsi="Times New Roman" w:eastAsia="Times New Roman" w:cs="Times New Roman"/>
      <w:sz w:val="24"/>
      <w:szCs w:val="24"/>
      <w:lang w:eastAsia="ar-SA"/>
    </w:rPr>
  </w:style>
  <w:style w:type="character" w:styleId="Style15" w:customStyle="1">
    <w:name w:val="Нижний колонтитул Знак"/>
    <w:basedOn w:val="DefaultParagraphFont"/>
    <w:qFormat/>
    <w:rPr>
      <w:rFonts w:ascii="Times New Roman" w:hAnsi="Times New Roman" w:eastAsia="Times New Roman" w:cs="Times New Roman"/>
      <w:sz w:val="24"/>
      <w:szCs w:val="24"/>
      <w:lang w:eastAsia="ar-SA"/>
    </w:rPr>
  </w:style>
  <w:style w:type="character" w:styleId="Style16" w:customStyle="1">
    <w:name w:val="Абзац списка Знак"/>
    <w:qFormat/>
    <w:rPr>
      <w:rFonts w:ascii="Calibri" w:hAnsi="Calibri" w:eastAsia="Calibri" w:cs="Calibri"/>
      <w:lang w:val="uk-UA" w:eastAsia="ru-RU"/>
    </w:rPr>
  </w:style>
  <w:style w:type="character" w:styleId="Style17" w:customStyle="1">
    <w:name w:val="Основной текст Знак"/>
    <w:basedOn w:val="DefaultParagraphFont"/>
    <w:qFormat/>
    <w:rPr>
      <w:rFonts w:ascii="Calibri" w:hAnsi="Calibri" w:eastAsia="Calibri" w:cs="Calibri"/>
      <w:lang w:val="uk-UA" w:eastAsia="ru-RU"/>
    </w:rPr>
  </w:style>
  <w:style w:type="character" w:styleId="12" w:customStyle="1">
    <w:name w:val="Абзац списка Знак1"/>
    <w:qFormat/>
    <w:rPr>
      <w:rFonts w:ascii="Times New Roman" w:hAnsi="Times New Roman" w:eastAsia="Times New Roman" w:cs="Times New Roman"/>
      <w:lang w:val="uk-UA"/>
    </w:rPr>
  </w:style>
  <w:style w:type="character" w:styleId="Rvts23" w:customStyle="1">
    <w:name w:val="rvts23"/>
    <w:basedOn w:val="DefaultParagraphFont"/>
    <w:qFormat/>
    <w:rPr/>
  </w:style>
  <w:style w:type="character" w:styleId="Style18" w:customStyle="1">
    <w:name w:val="Интернет-ссылка"/>
    <w:qFormat/>
    <w:rPr>
      <w:color w:val="000080"/>
      <w:u w:val="single"/>
    </w:rPr>
  </w:style>
  <w:style w:type="character" w:styleId="Qaclassifierdescrcode" w:customStyle="1">
    <w:name w:val="qa_classifier_descr_code"/>
    <w:basedOn w:val="DefaultParagraphFont"/>
    <w:qFormat/>
    <w:rPr/>
  </w:style>
  <w:style w:type="character" w:styleId="Qaclassifierdescrprimary" w:customStyle="1">
    <w:name w:val="qa_classifier_descr_primary"/>
    <w:basedOn w:val="DefaultParagraphFont"/>
    <w:qFormat/>
    <w:rPr/>
  </w:style>
  <w:style w:type="character" w:styleId="Strong">
    <w:name w:val="Strong"/>
    <w:qFormat/>
    <w:rPr>
      <w:b/>
      <w:bCs/>
    </w:rPr>
  </w:style>
  <w:style w:type="character" w:styleId="WW8Num4z0" w:customStyle="1">
    <w:name w:val="WW8Num4z0"/>
    <w:qFormat/>
    <w:rPr>
      <w:rFonts w:ascii="Wingdings" w:hAnsi="Wingdings" w:cs="Wingdings"/>
      <w:sz w:val="24"/>
      <w:szCs w:val="24"/>
    </w:rPr>
  </w:style>
  <w:style w:type="character" w:styleId="WW8Num4z1" w:customStyle="1">
    <w:name w:val="WW8Num4z1"/>
    <w:qFormat/>
    <w:rPr>
      <w:rFonts w:ascii="Courier New" w:hAnsi="Courier New" w:cs="Courier New"/>
    </w:rPr>
  </w:style>
  <w:style w:type="character" w:styleId="WW8Num4z3" w:customStyle="1">
    <w:name w:val="WW8Num4z3"/>
    <w:qFormat/>
    <w:rPr>
      <w:rFonts w:ascii="Symbol" w:hAnsi="Symbol" w:cs="Symbol"/>
    </w:rPr>
  </w:style>
  <w:style w:type="character" w:styleId="WW8Num8z0" w:customStyle="1">
    <w:name w:val="WW8Num8z0"/>
    <w:qFormat/>
    <w:rPr>
      <w:rFonts w:ascii="Wingdings" w:hAnsi="Wingdings" w:cs="Wingdings"/>
    </w:rPr>
  </w:style>
  <w:style w:type="character" w:styleId="WW8Num8z1" w:customStyle="1">
    <w:name w:val="WW8Num8z1"/>
    <w:qFormat/>
    <w:rPr>
      <w:rFonts w:ascii="Courier New" w:hAnsi="Courier New" w:cs="Courier New"/>
    </w:rPr>
  </w:style>
  <w:style w:type="character" w:styleId="WW8Num8z3" w:customStyle="1">
    <w:name w:val="WW8Num8z3"/>
    <w:qFormat/>
    <w:rPr>
      <w:rFonts w:ascii="Symbol" w:hAnsi="Symbol" w:cs="Symbol"/>
    </w:rPr>
  </w:style>
  <w:style w:type="character" w:styleId="Style19" w:customStyle="1">
    <w:name w:val="Маркери"/>
    <w:qFormat/>
    <w:rPr>
      <w:rFonts w:ascii="OpenSymbol" w:hAnsi="OpenSymbol" w:eastAsia="OpenSymbol" w:cs="OpenSymbol"/>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before="0" w:after="12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customStyle="1">
    <w:name w:val="Покажчик"/>
    <w:basedOn w:val="Normal"/>
    <w:qFormat/>
    <w:pPr>
      <w:suppressLineNumbers/>
    </w:pPr>
    <w:rPr>
      <w:rFonts w:cs="Arial"/>
    </w:rPr>
  </w:style>
  <w:style w:type="paragraph" w:styleId="13" w:customStyle="1">
    <w:name w:val="Заголовок1"/>
    <w:basedOn w:val="Normal"/>
    <w:next w:val="Style21"/>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1" w:customStyle="1">
    <w:name w:val="List Paragraph1"/>
    <w:basedOn w:val="Normal"/>
    <w:qFormat/>
    <w:pPr>
      <w:spacing w:lineRule="auto" w:line="240" w:before="0" w:after="0"/>
      <w:ind w:left="720" w:hanging="0"/>
    </w:pPr>
    <w:rPr>
      <w:rFonts w:ascii="Times New Roman" w:hAnsi="Times New Roman" w:eastAsia="Times New Roman" w:cs="Times New Roman"/>
      <w:sz w:val="24"/>
      <w:szCs w:val="24"/>
      <w:lang w:val="ru-RU" w:eastAsia="ar-SA"/>
    </w:rPr>
  </w:style>
  <w:style w:type="paragraph" w:styleId="BodyTextIndent2">
    <w:name w:val="Body Text Indent 2"/>
    <w:basedOn w:val="Normal"/>
    <w:link w:val="21"/>
    <w:qFormat/>
    <w:pPr>
      <w:spacing w:lineRule="auto" w:line="480" w:before="0" w:after="120"/>
      <w:ind w:left="283" w:hanging="0"/>
    </w:pPr>
    <w:rPr>
      <w:rFonts w:eastAsia="Times New Roman" w:cs="Times New Roman"/>
      <w:lang w:val="ru-RU" w:eastAsia="en-US"/>
    </w:rPr>
  </w:style>
  <w:style w:type="paragraph" w:styleId="Rvps2" w:customStyle="1">
    <w:name w:val="rvps2"/>
    <w:basedOn w:val="Normal"/>
    <w:qFormat/>
    <w:pPr>
      <w:spacing w:lineRule="auto" w:line="240" w:before="280" w:after="280"/>
    </w:pPr>
    <w:rPr>
      <w:rFonts w:ascii="Times New Roman" w:hAnsi="Times New Roman" w:cs="Times New Roman"/>
      <w:sz w:val="24"/>
      <w:szCs w:val="24"/>
      <w:lang w:eastAsia="uk-UA"/>
    </w:rPr>
  </w:style>
  <w:style w:type="paragraph" w:styleId="14" w:customStyle="1">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5" w:customStyle="1">
    <w:name w:val="Абзац списка1"/>
    <w:basedOn w:val="Normal"/>
    <w:qFormat/>
    <w:pPr>
      <w:spacing w:lineRule="auto" w:line="276" w:before="0" w:after="200"/>
      <w:ind w:left="720" w:hanging="0"/>
      <w:contextualSpacing/>
    </w:pPr>
    <w:rPr>
      <w:rFonts w:eastAsia="Times New Roman" w:cs="Times New Roman"/>
      <w:lang w:val="ru-RU" w:eastAsia="en-US"/>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zh-CN" w:bidi="ar-SA"/>
    </w:rPr>
  </w:style>
  <w:style w:type="paragraph" w:styleId="ListParagraph">
    <w:name w:val="List Paragraph"/>
    <w:basedOn w:val="Normal"/>
    <w:uiPriority w:val="34"/>
    <w:qFormat/>
    <w:pPr>
      <w:spacing w:before="0" w:after="160"/>
      <w:ind w:left="720" w:hanging="0"/>
      <w:contextualSpacing/>
    </w:pPr>
    <w:rPr/>
  </w:style>
  <w:style w:type="paragraph" w:styleId="Style25" w:customStyle="1">
    <w:name w:val="Верхній і нижній колонтитули"/>
    <w:basedOn w:val="Normal"/>
    <w:qFormat/>
    <w:pPr/>
    <w:rPr/>
  </w:style>
  <w:style w:type="paragraph" w:styleId="Style26" w:customStyle="1">
    <w:name w:val="Колонтитул"/>
    <w:basedOn w:val="Normal"/>
    <w:qFormat/>
    <w:pPr/>
    <w:rPr/>
  </w:style>
  <w:style w:type="paragraph" w:styleId="Style27">
    <w:name w:val="Header"/>
    <w:basedOn w:val="Normal"/>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val="ru-RU" w:eastAsia="ar-SA"/>
    </w:rPr>
  </w:style>
  <w:style w:type="paragraph" w:styleId="Style28">
    <w:name w:val="Footer"/>
    <w:basedOn w:val="Normal"/>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val="ru-RU" w:eastAsia="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val="ru-RU" w:eastAsia="ar-SA"/>
    </w:rPr>
  </w:style>
  <w:style w:type="paragraph" w:styleId="TableParagraph" w:customStyle="1">
    <w:name w:val="Table Paragraph"/>
    <w:basedOn w:val="Normal"/>
    <w:qFormat/>
    <w:pPr>
      <w:widowControl w:val="false"/>
      <w:spacing w:lineRule="auto" w:line="240" w:before="0" w:after="0"/>
      <w:ind w:left="200" w:hanging="0"/>
    </w:pPr>
    <w:rPr>
      <w:rFonts w:ascii="Times New Roman" w:hAnsi="Times New Roman" w:eastAsia="Times New Roman" w:cs="Times New Roman"/>
      <w:lang w:eastAsia="en-US"/>
    </w:rPr>
  </w:style>
  <w:style w:type="paragraph" w:styleId="A" w:customStyle="1">
    <w:name w:val="a"/>
    <w:basedOn w:val="Normal"/>
    <w:qFormat/>
    <w:pPr>
      <w:spacing w:lineRule="auto" w:line="240" w:before="280" w:after="280"/>
    </w:pPr>
    <w:rPr>
      <w:rFonts w:ascii="Times New Roman" w:hAnsi="Times New Roman" w:eastAsia="SimSun" w:cs="Times New Roman"/>
      <w:sz w:val="24"/>
      <w:szCs w:val="24"/>
      <w:lang w:val="ru-RU"/>
    </w:rPr>
  </w:style>
  <w:style w:type="paragraph" w:styleId="Style29" w:customStyle="1">
    <w:name w:val="Содержимое таблицы"/>
    <w:basedOn w:val="Normal"/>
    <w:qFormat/>
    <w:pPr>
      <w:widowControl w:val="false"/>
      <w:suppressLineNumbers/>
    </w:pPr>
    <w:rPr/>
  </w:style>
  <w:style w:type="paragraph" w:styleId="Style30" w:customStyle="1">
    <w:name w:val="Вміст таблиці"/>
    <w:basedOn w:val="Normal"/>
    <w:qFormat/>
    <w:pPr>
      <w:suppressLineNumbers/>
    </w:pPr>
    <w:rPr/>
  </w:style>
  <w:style w:type="paragraph" w:styleId="Style31" w:customStyle="1">
    <w:name w:val="Заголовок таблиці"/>
    <w:basedOn w:val="Style30"/>
    <w:qFormat/>
    <w:pPr>
      <w:jc w:val="center"/>
    </w:pPr>
    <w:rPr>
      <w:b/>
      <w:bC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Times New Roman"/>
      <w:color w:val="000000"/>
      <w:lang w:val="ru-RU"/>
    </w:rPr>
  </w:style>
  <w:style w:type="paragraph" w:styleId="23" w:customStyle="1">
    <w:name w:val="Обычный2"/>
    <w:qFormat/>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uk-UA" w:eastAsia="uk-UA" w:bidi="ar-SA"/>
    </w:rPr>
  </w:style>
  <w:style w:type="paragraph" w:styleId="Standard" w:customStyle="1">
    <w:name w:val="Standard"/>
    <w:qFormat/>
    <w:rsid w:val="00a92cdc"/>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Textbody" w:customStyle="1">
    <w:name w:val="Text body"/>
    <w:basedOn w:val="Standard"/>
    <w:qFormat/>
    <w:rsid w:val="00a92cdc"/>
    <w:pPr>
      <w:spacing w:lineRule="auto" w:line="276" w:before="0" w:after="283"/>
    </w:pPr>
    <w:rPr/>
  </w:style>
  <w:style w:type="numbering" w:styleId="NoList" w:default="1">
    <w:name w:val="No List"/>
    <w:uiPriority w:val="99"/>
    <w:semiHidden/>
    <w:unhideWhenUsed/>
    <w:qFormat/>
  </w:style>
  <w:style w:type="numbering" w:styleId="WW8Num4" w:customStyle="1">
    <w:name w:val="WW8Num4"/>
    <w:qFormat/>
  </w:style>
  <w:style w:type="numbering" w:styleId="WW8Num8" w:customStyle="1">
    <w:name w:val="WW8Num8"/>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zakon0.rada.gov.ua/laws/show/2289-17" TargetMode="External"/><Relationship Id="rId7" Type="http://schemas.openxmlformats.org/officeDocument/2006/relationships/hyperlink" Target="http://zakon4.rada.gov.ua/laws/show/2289-17" TargetMode="External"/><Relationship Id="rId8" Type="http://schemas.openxmlformats.org/officeDocument/2006/relationships/hyperlink" Target="http://zakon4.rada.gov.ua/laws/show/2289-17" TargetMode="External"/><Relationship Id="rId9" Type="http://schemas.openxmlformats.org/officeDocument/2006/relationships/hyperlink" Target="https://radnuk.com.ua/pravova-baza/pro-zatverdzhennia-typovoi-antykoruptsijnoi-prohramy-iurydychnoi-osoby/"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A414-7F40-47F0-8002-7AA3188C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TotalTime>
  <Application>LibreOffice/7.2.2.2$Windows_X86_64 LibreOffice_project/02b2acce88a210515b4a5bb2e46cbfb63fe97d56</Application>
  <AppVersion>15.0000</AppVersion>
  <Pages>34</Pages>
  <Words>10079</Words>
  <Characters>68937</Characters>
  <CharactersWithSpaces>78453</CharactersWithSpaces>
  <Paragraphs>695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2023-08-09T16:44:00Z</dcterms:created>
  <dc:creator>Irina</dc:creator>
  <dc:description/>
  <dc:language>uk-UA</dc:language>
  <cp:lastModifiedBy/>
  <cp:lastPrinted>2024-03-13T08:08:02Z</cp:lastPrinted>
  <dcterms:modified xsi:type="dcterms:W3CDTF">2024-03-13T08:09:27Z</dcterms:modified>
  <cp:revision>196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