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B0" w:rsidRPr="00CD7243" w:rsidRDefault="003F0005">
      <w:pPr>
        <w:pStyle w:val="ad"/>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КСЕНЧУК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553D4C" w:rsidP="005D00A4">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12</w:t>
                                  </w:r>
                                  <w:r w:rsidR="001307EC" w:rsidRPr="00D25AF5">
                                    <w:rPr>
                                      <w:rFonts w:ascii="Times New Roman" w:hAnsi="Times New Roman" w:cs="Times New Roman"/>
                                      <w:color w:val="auto"/>
                                      <w:sz w:val="28"/>
                                      <w:szCs w:val="28"/>
                                    </w:rPr>
                                    <w:t xml:space="preserve"> </w:t>
                                  </w:r>
                                  <w:r w:rsidR="009306D4">
                                    <w:rPr>
                                      <w:rFonts w:ascii="Times New Roman" w:hAnsi="Times New Roman" w:cs="Times New Roman"/>
                                      <w:color w:val="auto"/>
                                      <w:sz w:val="28"/>
                                      <w:szCs w:val="28"/>
                                      <w:lang w:val="uk-UA"/>
                                    </w:rPr>
                                    <w:t>квітня</w:t>
                                  </w:r>
                                  <w:r w:rsidR="001307EC" w:rsidRPr="00D25AF5">
                                    <w:rPr>
                                      <w:rFonts w:ascii="Times New Roman" w:hAnsi="Times New Roman" w:cs="Times New Roman"/>
                                      <w:color w:val="auto"/>
                                      <w:sz w:val="28"/>
                                      <w:szCs w:val="28"/>
                                    </w:rPr>
                                    <w:t xml:space="preserve"> 20</w:t>
                                  </w:r>
                                  <w:r w:rsidR="001307EC" w:rsidRPr="00D25AF5">
                                    <w:rPr>
                                      <w:rFonts w:ascii="Times New Roman" w:hAnsi="Times New Roman" w:cs="Times New Roman"/>
                                      <w:color w:val="auto"/>
                                      <w:sz w:val="28"/>
                                      <w:szCs w:val="28"/>
                                      <w:lang w:val="en-US"/>
                                    </w:rPr>
                                    <w:t>2</w:t>
                                  </w:r>
                                  <w:r w:rsidR="00A51680" w:rsidRPr="00D25AF5">
                                    <w:rPr>
                                      <w:rFonts w:ascii="Times New Roman" w:hAnsi="Times New Roman" w:cs="Times New Roman"/>
                                      <w:color w:val="auto"/>
                                      <w:sz w:val="28"/>
                                      <w:szCs w:val="28"/>
                                      <w:lang w:val="uk-UA"/>
                                    </w:rPr>
                                    <w:t>4</w:t>
                                  </w:r>
                                  <w:r w:rsidR="001307EC" w:rsidRPr="00D25AF5">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КСЕНЧУК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553D4C" w:rsidP="005D00A4">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12</w:t>
                            </w:r>
                            <w:r w:rsidR="001307EC" w:rsidRPr="00D25AF5">
                              <w:rPr>
                                <w:rFonts w:ascii="Times New Roman" w:hAnsi="Times New Roman" w:cs="Times New Roman"/>
                                <w:color w:val="auto"/>
                                <w:sz w:val="28"/>
                                <w:szCs w:val="28"/>
                              </w:rPr>
                              <w:t xml:space="preserve"> </w:t>
                            </w:r>
                            <w:r w:rsidR="009306D4">
                              <w:rPr>
                                <w:rFonts w:ascii="Times New Roman" w:hAnsi="Times New Roman" w:cs="Times New Roman"/>
                                <w:color w:val="auto"/>
                                <w:sz w:val="28"/>
                                <w:szCs w:val="28"/>
                                <w:lang w:val="uk-UA"/>
                              </w:rPr>
                              <w:t>квітня</w:t>
                            </w:r>
                            <w:r w:rsidR="001307EC" w:rsidRPr="00D25AF5">
                              <w:rPr>
                                <w:rFonts w:ascii="Times New Roman" w:hAnsi="Times New Roman" w:cs="Times New Roman"/>
                                <w:color w:val="auto"/>
                                <w:sz w:val="28"/>
                                <w:szCs w:val="28"/>
                              </w:rPr>
                              <w:t xml:space="preserve"> 20</w:t>
                            </w:r>
                            <w:r w:rsidR="001307EC" w:rsidRPr="00D25AF5">
                              <w:rPr>
                                <w:rFonts w:ascii="Times New Roman" w:hAnsi="Times New Roman" w:cs="Times New Roman"/>
                                <w:color w:val="auto"/>
                                <w:sz w:val="28"/>
                                <w:szCs w:val="28"/>
                                <w:lang w:val="en-US"/>
                              </w:rPr>
                              <w:t>2</w:t>
                            </w:r>
                            <w:r w:rsidR="00A51680" w:rsidRPr="00D25AF5">
                              <w:rPr>
                                <w:rFonts w:ascii="Times New Roman" w:hAnsi="Times New Roman" w:cs="Times New Roman"/>
                                <w:color w:val="auto"/>
                                <w:sz w:val="28"/>
                                <w:szCs w:val="28"/>
                                <w:lang w:val="uk-UA"/>
                              </w:rPr>
                              <w:t>4</w:t>
                            </w:r>
                            <w:r w:rsidR="001307EC" w:rsidRPr="00D25AF5">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553D4C" w:rsidRDefault="00553D4C" w:rsidP="00553D4C">
      <w:pPr>
        <w:pStyle w:val="ad"/>
        <w:ind w:firstLine="709"/>
        <w:jc w:val="center"/>
        <w:rPr>
          <w:rFonts w:ascii="Times New Roman" w:hAnsi="Times New Roman" w:cs="Times New Roman"/>
          <w:b/>
          <w:sz w:val="32"/>
          <w:szCs w:val="32"/>
          <w:lang w:val="uk-UA"/>
        </w:rPr>
      </w:pPr>
      <w:bookmarkStart w:id="0" w:name="_Hlk163831602"/>
      <w:bookmarkStart w:id="1" w:name="_Hlk163831831"/>
      <w:r w:rsidRPr="00553D4C">
        <w:rPr>
          <w:rFonts w:ascii="Times New Roman" w:hAnsi="Times New Roman" w:cs="Times New Roman"/>
          <w:b/>
          <w:sz w:val="32"/>
          <w:szCs w:val="32"/>
          <w:lang w:val="uk-UA"/>
        </w:rPr>
        <w:t>Персональні комп</w:t>
      </w:r>
      <w:r>
        <w:rPr>
          <w:rFonts w:ascii="Times New Roman" w:hAnsi="Times New Roman" w:cs="Times New Roman"/>
          <w:b/>
          <w:sz w:val="32"/>
          <w:szCs w:val="32"/>
          <w:lang w:val="en-US"/>
        </w:rPr>
        <w:t>’</w:t>
      </w:r>
      <w:proofErr w:type="spellStart"/>
      <w:r w:rsidRPr="00553D4C">
        <w:rPr>
          <w:rFonts w:ascii="Times New Roman" w:hAnsi="Times New Roman" w:cs="Times New Roman"/>
          <w:b/>
          <w:sz w:val="32"/>
          <w:szCs w:val="32"/>
          <w:lang w:val="uk-UA"/>
        </w:rPr>
        <w:t>ютери</w:t>
      </w:r>
      <w:bookmarkEnd w:id="0"/>
      <w:proofErr w:type="spellEnd"/>
    </w:p>
    <w:p w:rsidR="00E868B0" w:rsidRPr="00CD7243" w:rsidRDefault="00553D4C" w:rsidP="00553D4C">
      <w:pPr>
        <w:pStyle w:val="ad"/>
        <w:ind w:firstLine="709"/>
        <w:jc w:val="center"/>
        <w:rPr>
          <w:rFonts w:ascii="Times New Roman" w:hAnsi="Times New Roman" w:cs="Times New Roman"/>
          <w:szCs w:val="24"/>
          <w:lang w:val="uk-UA"/>
        </w:rPr>
      </w:pPr>
      <w:r w:rsidRPr="00553D4C">
        <w:rPr>
          <w:rFonts w:ascii="Times New Roman" w:hAnsi="Times New Roman" w:cs="Times New Roman"/>
          <w:b/>
          <w:sz w:val="32"/>
          <w:szCs w:val="32"/>
          <w:lang w:val="uk-UA"/>
        </w:rPr>
        <w:t xml:space="preserve"> ДК 021:2015: </w:t>
      </w:r>
      <w:bookmarkStart w:id="2" w:name="_Hlk163831636"/>
      <w:r w:rsidRPr="00553D4C">
        <w:rPr>
          <w:rFonts w:ascii="Times New Roman" w:hAnsi="Times New Roman" w:cs="Times New Roman"/>
          <w:b/>
          <w:sz w:val="32"/>
          <w:szCs w:val="32"/>
          <w:lang w:val="uk-UA"/>
        </w:rPr>
        <w:t>30210000-4 — Машини для обробки даних (апаратна частина)</w:t>
      </w:r>
      <w:bookmarkEnd w:id="1"/>
      <w:bookmarkEnd w:id="2"/>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Default="00E91A9D">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813B8" w:rsidRDefault="002813B8">
      <w:pPr>
        <w:pStyle w:val="ad"/>
        <w:ind w:firstLine="709"/>
        <w:jc w:val="both"/>
        <w:rPr>
          <w:rFonts w:ascii="Times New Roman" w:hAnsi="Times New Roman" w:cs="Times New Roman"/>
          <w:szCs w:val="24"/>
          <w:lang w:val="uk-UA"/>
        </w:rPr>
      </w:pPr>
    </w:p>
    <w:p w:rsidR="002813B8" w:rsidRDefault="002813B8">
      <w:pPr>
        <w:pStyle w:val="ad"/>
        <w:ind w:firstLine="709"/>
        <w:jc w:val="both"/>
        <w:rPr>
          <w:rFonts w:ascii="Times New Roman" w:hAnsi="Times New Roman" w:cs="Times New Roman"/>
          <w:szCs w:val="24"/>
          <w:lang w:val="uk-UA"/>
        </w:rPr>
      </w:pPr>
    </w:p>
    <w:p w:rsidR="002813B8" w:rsidRDefault="002813B8">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color w:val="auto"/>
          <w:szCs w:val="24"/>
          <w:lang w:val="uk-UA"/>
        </w:rPr>
      </w:pPr>
      <w:r w:rsidRPr="00CD7243">
        <w:rPr>
          <w:rFonts w:ascii="Times New Roman" w:hAnsi="Times New Roman" w:cs="Times New Roman"/>
          <w:color w:val="auto"/>
          <w:szCs w:val="24"/>
          <w:lang w:val="uk-UA"/>
        </w:rPr>
        <w:t xml:space="preserve">Львів </w:t>
      </w:r>
      <w:r w:rsidR="00BB5956" w:rsidRPr="00CD7243">
        <w:rPr>
          <w:rFonts w:ascii="Times New Roman" w:hAnsi="Times New Roman" w:cs="Times New Roman"/>
          <w:color w:val="auto"/>
          <w:szCs w:val="24"/>
          <w:lang w:val="uk-UA"/>
        </w:rPr>
        <w:t>–</w:t>
      </w:r>
      <w:r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D386E">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7B702F">
            <w:pPr>
              <w:jc w:val="both"/>
              <w:rPr>
                <w:b/>
                <w:lang w:val="uk-UA"/>
              </w:rPr>
            </w:pPr>
            <w:r w:rsidRPr="0086680F">
              <w:rPr>
                <w:b/>
                <w:lang w:val="uk-UA"/>
              </w:rPr>
              <w:t>Західний офіс Держаудитслужби</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pStyle w:val="ae"/>
              <w:spacing w:beforeAutospacing="0" w:afterAutospacing="0"/>
              <w:ind w:firstLine="13"/>
              <w:jc w:val="both"/>
              <w:rPr>
                <w:b/>
                <w:lang w:val="uk-UA"/>
              </w:rPr>
            </w:pPr>
            <w:r w:rsidRPr="00CD7243">
              <w:rPr>
                <w:lang w:val="uk-UA" w:eastAsia="uk-UA"/>
              </w:rPr>
              <w:t>вул. Костюшка, 8, м. Львів, 79000, Україна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rsidP="003050BD">
            <w:pPr>
              <w:tabs>
                <w:tab w:val="left" w:pos="2160"/>
                <w:tab w:val="left" w:pos="3600"/>
              </w:tabs>
              <w:jc w:val="both"/>
              <w:rPr>
                <w:lang w:val="uk-UA" w:eastAsia="uk-UA"/>
              </w:rPr>
            </w:pPr>
            <w:proofErr w:type="spellStart"/>
            <w:r w:rsidRPr="00CD7243">
              <w:rPr>
                <w:lang w:val="uk-UA" w:eastAsia="uk-UA"/>
              </w:rPr>
              <w:t>Ксенчук</w:t>
            </w:r>
            <w:proofErr w:type="spellEnd"/>
            <w:r w:rsidRPr="00CD7243">
              <w:rPr>
                <w:lang w:val="uk-UA" w:eastAsia="uk-UA"/>
              </w:rPr>
              <w:t xml:space="preserve"> Ярослав Володимирович – начальник відділу </w:t>
            </w:r>
            <w:r w:rsidRPr="00CD7243">
              <w:rPr>
                <w:color w:val="000000"/>
                <w:shd w:val="clear" w:color="auto" w:fill="FFFFFF"/>
                <w:lang w:val="uk-UA"/>
              </w:rPr>
              <w:t>адміністративно – господарського забезпечення, документообігу та контролю виконавської дисципліни</w:t>
            </w:r>
            <w:r w:rsidRPr="00CD7243">
              <w:rPr>
                <w:lang w:val="uk-UA" w:eastAsia="uk-UA"/>
              </w:rPr>
              <w:t xml:space="preserve"> </w:t>
            </w:r>
            <w:r w:rsidRPr="00CD7243">
              <w:rPr>
                <w:lang w:val="uk-UA"/>
              </w:rPr>
              <w:t>Західного офісу Держаудитслужби</w:t>
            </w:r>
            <w:r w:rsidRPr="00CD7243">
              <w:rPr>
                <w:lang w:val="uk-UA" w:eastAsia="uk-UA"/>
              </w:rPr>
              <w:t xml:space="preserve">, </w:t>
            </w:r>
            <w:proofErr w:type="spellStart"/>
            <w:r w:rsidRPr="00CD7243">
              <w:rPr>
                <w:lang w:val="uk-UA" w:eastAsia="uk-UA"/>
              </w:rPr>
              <w:t>тел</w:t>
            </w:r>
            <w:proofErr w:type="spellEnd"/>
            <w:r w:rsidRPr="00CD7243">
              <w:rPr>
                <w:lang w:val="uk-UA" w:eastAsia="uk-UA"/>
              </w:rPr>
              <w:t>. (032) 235–84–67;</w:t>
            </w:r>
            <w:r w:rsidRPr="00CD7243">
              <w:rPr>
                <w:lang w:val="uk-UA"/>
              </w:rPr>
              <w:t xml:space="preserve"> електронна адреса: </w:t>
            </w:r>
            <w:r w:rsidR="000C05CC">
              <w:rPr>
                <w:lang w:val="uk-UA"/>
              </w:rPr>
              <w:t>131301</w:t>
            </w:r>
            <w:r w:rsidR="00BB3C9A" w:rsidRPr="00CD7243">
              <w:rPr>
                <w:lang w:val="uk-UA"/>
              </w:rPr>
              <w:t>@dasu.gov.ua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EA21F0" w:rsidRDefault="002B1866" w:rsidP="00F448D8">
            <w:pPr>
              <w:rPr>
                <w:highlight w:val="yellow"/>
                <w:lang w:val="uk-UA"/>
              </w:rPr>
            </w:pPr>
            <w:r w:rsidRPr="002B1866">
              <w:rPr>
                <w:lang w:val="uk-UA"/>
              </w:rPr>
              <w:t>Персональні комп’ютери ДК 021:2015: 30210000-4 — Машини для обробки даних (апаратна частина)</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0A18" w:rsidRPr="00F66FB4" w:rsidRDefault="0025574F" w:rsidP="0078670D">
            <w:pPr>
              <w:autoSpaceDE w:val="0"/>
              <w:autoSpaceDN w:val="0"/>
              <w:adjustRightInd w:val="0"/>
              <w:rPr>
                <w:bCs/>
                <w:lang w:val="uk-UA" w:eastAsia="uk-UA"/>
              </w:rPr>
            </w:pPr>
            <w:r w:rsidRPr="00EC36FC">
              <w:rPr>
                <w:bCs/>
                <w:lang w:val="uk-UA" w:eastAsia="uk-UA"/>
              </w:rPr>
              <w:t>Місце поставки:</w:t>
            </w:r>
            <w:r w:rsidRPr="00F66FB4">
              <w:rPr>
                <w:bCs/>
                <w:lang w:val="uk-UA" w:eastAsia="uk-UA"/>
              </w:rPr>
              <w:t xml:space="preserve"> </w:t>
            </w:r>
            <w:r w:rsidR="00F70A18" w:rsidRPr="00F66FB4">
              <w:rPr>
                <w:bCs/>
                <w:lang w:val="uk-UA" w:eastAsia="uk-UA"/>
              </w:rPr>
              <w:t>м. Львів, вул. Костюшка, 8</w:t>
            </w:r>
            <w:r w:rsidR="005B653C" w:rsidRPr="00F66FB4">
              <w:rPr>
                <w:bCs/>
                <w:lang w:val="uk-UA" w:eastAsia="uk-UA"/>
              </w:rPr>
              <w:t xml:space="preserve">, </w:t>
            </w:r>
            <w:r w:rsidR="00F70A18" w:rsidRPr="00F66FB4">
              <w:rPr>
                <w:bCs/>
                <w:lang w:val="uk-UA" w:eastAsia="uk-UA"/>
              </w:rPr>
              <w:t xml:space="preserve">Кількість: </w:t>
            </w:r>
            <w:r w:rsidR="001427DF">
              <w:rPr>
                <w:bCs/>
                <w:lang w:val="en-US" w:eastAsia="uk-UA"/>
              </w:rPr>
              <w:t>4</w:t>
            </w:r>
            <w:r w:rsidR="00D25AF5">
              <w:rPr>
                <w:bCs/>
                <w:lang w:val="uk-UA" w:eastAsia="uk-UA"/>
              </w:rPr>
              <w:t>8</w:t>
            </w:r>
            <w:r w:rsidR="001427DF">
              <w:rPr>
                <w:bCs/>
                <w:lang w:val="en-US" w:eastAsia="uk-UA"/>
              </w:rPr>
              <w:t xml:space="preserve"> </w:t>
            </w:r>
            <w:r w:rsidR="00D25AF5">
              <w:rPr>
                <w:bCs/>
                <w:lang w:val="uk-UA" w:eastAsia="uk-UA"/>
              </w:rPr>
              <w:t>шт.</w:t>
            </w:r>
          </w:p>
          <w:p w:rsidR="005A6BF7" w:rsidRPr="00CD7243" w:rsidRDefault="005A6BF7"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w:t>
            </w:r>
            <w:r w:rsidR="00F83648" w:rsidRPr="00F66FB4">
              <w:rPr>
                <w:rFonts w:eastAsia="Times New Roman"/>
                <w:lang w:val="uk-UA" w:eastAsia="en-US" w:bidi="en-US"/>
              </w:rPr>
              <w:t xml:space="preserve"> </w:t>
            </w:r>
            <w:r w:rsidR="005B653C" w:rsidRPr="00F66FB4">
              <w:rPr>
                <w:rFonts w:eastAsia="Times New Roman"/>
                <w:lang w:val="uk-UA" w:eastAsia="en-US" w:bidi="en-US"/>
              </w:rPr>
              <w:t>поставки товарів</w:t>
            </w:r>
            <w:r w:rsidRPr="00F66FB4">
              <w:rPr>
                <w:rFonts w:eastAsia="Times New Roman"/>
                <w:lang w:val="uk-UA" w:eastAsia="en-US" w:bidi="en-US"/>
              </w:rPr>
              <w:t xml:space="preserve">  зазначено в Додатку </w:t>
            </w:r>
            <w:r w:rsidR="00DE3D24" w:rsidRPr="00F66FB4">
              <w:rPr>
                <w:rFonts w:eastAsia="Times New Roman"/>
                <w:lang w:val="uk-UA" w:eastAsia="en-US" w:bidi="en-US"/>
              </w:rPr>
              <w:t>2</w:t>
            </w:r>
            <w:r w:rsidRPr="00F66FB4">
              <w:rPr>
                <w:rFonts w:eastAsia="Times New Roman"/>
                <w:lang w:val="uk-UA" w:eastAsia="en-US" w:bidi="en-US"/>
              </w:rPr>
              <w:t xml:space="preserve"> </w:t>
            </w:r>
            <w:r w:rsidR="005B653C" w:rsidRPr="00F66FB4">
              <w:rPr>
                <w:rFonts w:eastAsia="Times New Roman"/>
                <w:lang w:val="uk-UA" w:eastAsia="en-US" w:bidi="en-US"/>
              </w:rPr>
              <w:t xml:space="preserve">до </w:t>
            </w:r>
            <w:r w:rsidRPr="00F66FB4">
              <w:rPr>
                <w:rFonts w:eastAsia="Times New Roman"/>
                <w:lang w:val="uk-UA" w:eastAsia="en-US" w:bidi="en-US"/>
              </w:rPr>
              <w:t>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D25AF5" w:rsidP="0078670D">
            <w:pPr>
              <w:pStyle w:val="ae"/>
              <w:spacing w:beforeAutospacing="0" w:afterAutospacing="0"/>
              <w:rPr>
                <w:lang w:val="uk-UA"/>
              </w:rPr>
            </w:pPr>
            <w:r>
              <w:rPr>
                <w:lang w:val="uk-UA"/>
              </w:rPr>
              <w:t>П</w:t>
            </w:r>
            <w:r w:rsidRPr="00D25AF5">
              <w:rPr>
                <w:lang w:val="uk-UA"/>
              </w:rPr>
              <w:t xml:space="preserve">ротягом </w:t>
            </w:r>
            <w:r w:rsidR="001427DF">
              <w:rPr>
                <w:lang w:val="uk-UA"/>
              </w:rPr>
              <w:t>1</w:t>
            </w:r>
            <w:r w:rsidRPr="00AB3797">
              <w:rPr>
                <w:lang w:val="uk-UA"/>
              </w:rPr>
              <w:t>0</w:t>
            </w:r>
            <w:r w:rsidRPr="00D25AF5">
              <w:rPr>
                <w:lang w:val="uk-UA"/>
              </w:rPr>
              <w:t xml:space="preserve"> календарних днів від дати підписання Договору</w:t>
            </w:r>
            <w:r w:rsidR="001E3299"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lastRenderedPageBreak/>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36678F"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738D6">
              <w:rPr>
                <w:lang w:val="uk-UA"/>
              </w:rPr>
              <w:t>вимозі</w:t>
            </w:r>
            <w:proofErr w:type="spellEnd"/>
            <w:r w:rsidRPr="004738D6">
              <w:rPr>
                <w:lang w:val="uk-UA"/>
              </w:rPr>
              <w:t xml:space="preserve">, в тому числі щодо мови, замовник не розглядає інший(і) </w:t>
            </w:r>
            <w:r w:rsidRPr="004738D6">
              <w:rPr>
                <w:lang w:val="uk-UA"/>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4738D6">
              <w:rPr>
                <w:rFonts w:eastAsia="Times New Roman"/>
                <w:lang w:val="uk-UA"/>
              </w:rPr>
              <w:lastRenderedPageBreak/>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t>III. Інструкція з підготовки тендерної пропозиції</w:t>
            </w:r>
            <w:r w:rsidRPr="00CD7243">
              <w:rPr>
                <w:rFonts w:eastAsia="Times New Roman"/>
                <w:b/>
                <w:lang w:val="uk-UA"/>
              </w:rPr>
              <w:t xml:space="preserve"> </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w:t>
            </w:r>
            <w:r w:rsidR="0034504A">
              <w:rPr>
                <w:rFonts w:eastAsia="Times New Roman"/>
                <w:lang w:val="uk-UA"/>
              </w:rPr>
              <w:t>(</w:t>
            </w:r>
            <w:r w:rsidR="0034504A" w:rsidRPr="0034504A">
              <w:rPr>
                <w:rFonts w:eastAsia="Times New Roman"/>
                <w:lang w:val="uk-UA"/>
              </w:rPr>
              <w:t>Додат</w:t>
            </w:r>
            <w:r w:rsidR="0034504A">
              <w:rPr>
                <w:rFonts w:eastAsia="Times New Roman"/>
                <w:lang w:val="uk-UA"/>
              </w:rPr>
              <w:t>о</w:t>
            </w:r>
            <w:r w:rsidR="0034504A" w:rsidRPr="0034504A">
              <w:rPr>
                <w:rFonts w:eastAsia="Times New Roman"/>
                <w:lang w:val="uk-UA"/>
              </w:rPr>
              <w:t xml:space="preserve">к </w:t>
            </w:r>
            <w:r w:rsidR="0034504A">
              <w:rPr>
                <w:rFonts w:eastAsia="Times New Roman"/>
                <w:lang w:val="uk-UA"/>
              </w:rPr>
              <w:t>4</w:t>
            </w:r>
            <w:r w:rsidR="0034504A" w:rsidRPr="0034504A">
              <w:rPr>
                <w:rFonts w:eastAsia="Times New Roman"/>
                <w:lang w:val="uk-UA"/>
              </w:rPr>
              <w:t xml:space="preserve"> до тендерної документації</w:t>
            </w:r>
            <w:r w:rsidR="0034504A">
              <w:rPr>
                <w:rFonts w:eastAsia="Times New Roman"/>
                <w:lang w:val="uk-UA"/>
              </w:rPr>
              <w:t>)</w:t>
            </w:r>
            <w:r w:rsidR="0034504A" w:rsidRPr="0034504A">
              <w:rPr>
                <w:rFonts w:eastAsia="Times New Roman"/>
                <w:lang w:val="uk-UA"/>
              </w:rPr>
              <w:t xml:space="preserve"> </w:t>
            </w:r>
            <w:r w:rsidRPr="00B0642E">
              <w:rPr>
                <w:rFonts w:eastAsia="Times New Roman"/>
                <w:lang w:val="uk-UA"/>
              </w:rPr>
              <w:t xml:space="preserve">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r w:rsidR="0015229D">
              <w:rPr>
                <w:rFonts w:eastAsia="Times New Roman"/>
                <w:lang w:val="uk-UA"/>
              </w:rPr>
              <w:t xml:space="preserve"> з врахуванням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з Додатком 2 до тендерної документації;</w:t>
            </w:r>
          </w:p>
          <w:p w:rsidR="008343F6" w:rsidRDefault="00B722A8" w:rsidP="00B0642E">
            <w:pPr>
              <w:widowControl w:val="0"/>
              <w:tabs>
                <w:tab w:val="left" w:pos="542"/>
              </w:tabs>
              <w:ind w:firstLine="402"/>
              <w:jc w:val="both"/>
              <w:rPr>
                <w:rFonts w:eastAsia="Times New Roman"/>
                <w:lang w:val="uk-UA"/>
              </w:rPr>
            </w:pPr>
            <w:r w:rsidRPr="00B722A8">
              <w:rPr>
                <w:rFonts w:eastAsia="Times New Roman"/>
                <w:lang w:val="uk-UA"/>
              </w:rPr>
              <w:tab/>
              <w:t>інформацією про дотримання необхідних технічних, якісних та кількісних характеристик предмета закупівлі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 xml:space="preserve">для об’єднання учасників як учасника процедури </w:t>
            </w:r>
            <w:r w:rsidRPr="003506FF">
              <w:rPr>
                <w:rFonts w:eastAsia="Times New Roman"/>
                <w:lang w:val="uk-UA"/>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використання слова або </w:t>
            </w:r>
            <w:proofErr w:type="spellStart"/>
            <w:r w:rsidRPr="00B0642E">
              <w:rPr>
                <w:rFonts w:eastAsia="Times New Roman"/>
                <w:lang w:val="uk-UA"/>
              </w:rPr>
              <w:t>мовного</w:t>
            </w:r>
            <w:proofErr w:type="spellEnd"/>
            <w:r w:rsidRPr="00B0642E">
              <w:rPr>
                <w:rFonts w:eastAsia="Times New Roman"/>
                <w:lang w:val="uk-UA"/>
              </w:rPr>
              <w:t xml:space="preserve">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B0642E">
              <w:rPr>
                <w:rFonts w:eastAsia="Times New Roman"/>
                <w:lang w:val="uk-UA"/>
              </w:rPr>
              <w:lastRenderedPageBreak/>
              <w:t>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 xml:space="preserve">У випадку подання учасником більше однієї тендерної пропозиції учасник вважається таким, що не </w:t>
            </w:r>
            <w:r w:rsidRPr="00B0642E">
              <w:rPr>
                <w:rFonts w:eastAsia="Times New Roman"/>
                <w:lang w:val="uk-UA"/>
              </w:rPr>
              <w:lastRenderedPageBreak/>
              <w:t>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3" w:name="gjdgxs"/>
            <w:bookmarkEnd w:id="3"/>
            <w:r w:rsidRPr="00CD7243">
              <w:rPr>
                <w:lang w:val="uk-UA"/>
              </w:rPr>
              <w:t>Не передбачено</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36678F">
              <w:rPr>
                <w:rFonts w:eastAsia="Times New Roman"/>
                <w:lang w:val="uk-UA"/>
              </w:rPr>
              <w:t>Підстави, визначені пунктом 4</w:t>
            </w:r>
            <w:r w:rsidR="00EA2D72" w:rsidRPr="0036678F">
              <w:rPr>
                <w:rFonts w:eastAsia="Times New Roman"/>
              </w:rPr>
              <w:t>7</w:t>
            </w:r>
            <w:r w:rsidRPr="0036678F">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 xml:space="preserve">3) керівника учасника процедури закупівлі, фізичну особу, яка є учасником процедури закупівлі, було </w:t>
            </w:r>
            <w:r w:rsidRPr="001642BE">
              <w:rPr>
                <w:rFonts w:eastAsia="Times New Roman"/>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 xml:space="preserve">12) керівника учасника процедури закупівлі, </w:t>
            </w:r>
            <w:r w:rsidRPr="00FE5C44">
              <w:rPr>
                <w:rFonts w:eastAsia="Times New Roman"/>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D839C9">
              <w:rPr>
                <w:color w:val="333333"/>
                <w:shd w:val="clear" w:color="auto" w:fill="FFFFFF"/>
                <w:lang w:val="uk-UA"/>
              </w:rPr>
              <w:lastRenderedPageBreak/>
              <w:t>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9D5">
              <w:rPr>
                <w:rFonts w:eastAsia="Times New Roman"/>
                <w:lang w:val="uk-UA"/>
              </w:rPr>
              <w:t>невідповідностей</w:t>
            </w:r>
            <w:proofErr w:type="spellEnd"/>
            <w:r w:rsidRPr="00F679D5">
              <w:rPr>
                <w:rFonts w:eastAsia="Times New Roman"/>
                <w:lang w:val="uk-UA"/>
              </w:rPr>
              <w:t xml:space="preserve">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F679D5">
              <w:rPr>
                <w:rFonts w:eastAsia="Times New Roman"/>
                <w:lang w:val="uk-UA"/>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64B1F">
              <w:rPr>
                <w:lang w:val="uk-UA"/>
              </w:rPr>
              <w:t>невідповідностей</w:t>
            </w:r>
            <w:proofErr w:type="spellEnd"/>
            <w:r w:rsidRPr="00B64B1F">
              <w:rPr>
                <w:lang w:val="uk-UA"/>
              </w:rPr>
              <w:t>.</w:t>
            </w:r>
          </w:p>
          <w:p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w:t>
            </w:r>
            <w:proofErr w:type="spellStart"/>
            <w:r w:rsidRPr="00B64B1F">
              <w:rPr>
                <w:lang w:val="uk-UA"/>
              </w:rPr>
              <w:t>невідповідностей</w:t>
            </w:r>
            <w:proofErr w:type="spellEnd"/>
            <w:r w:rsidRPr="00B64B1F">
              <w:rPr>
                <w:lang w:val="uk-UA"/>
              </w:rPr>
              <w:t>.</w:t>
            </w:r>
          </w:p>
          <w:p w:rsidR="00F679D5" w:rsidRPr="00CD7243" w:rsidRDefault="00F679D5" w:rsidP="00B64B1F">
            <w:pPr>
              <w:widowControl w:val="0"/>
              <w:ind w:firstLine="462"/>
              <w:jc w:val="both"/>
              <w:rPr>
                <w:lang w:val="uk-UA"/>
              </w:rPr>
            </w:pPr>
            <w:r w:rsidRPr="00F679D5">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9D5">
              <w:rPr>
                <w:lang w:val="uk-UA"/>
              </w:rPr>
              <w:t>невідповідностей</w:t>
            </w:r>
            <w:proofErr w:type="spellEnd"/>
            <w:r w:rsidRPr="00F679D5">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BF4373">
              <w:rPr>
                <w:rFonts w:eastAsia="Times New Roman"/>
                <w:lang w:val="uk-UA"/>
              </w:rPr>
              <w:t>2</w:t>
            </w:r>
            <w:r w:rsidR="00E57E9D">
              <w:rPr>
                <w:rFonts w:eastAsia="Times New Roman"/>
                <w:lang w:val="uk-UA"/>
              </w:rPr>
              <w:t>0</w:t>
            </w:r>
            <w:r w:rsidR="00DB6E26" w:rsidRPr="002C4B9E">
              <w:rPr>
                <w:rFonts w:eastAsia="Times New Roman"/>
                <w:lang w:val="uk-UA"/>
              </w:rPr>
              <w:t>.</w:t>
            </w:r>
            <w:r w:rsidR="002C4B9E" w:rsidRPr="002C4B9E">
              <w:rPr>
                <w:rFonts w:eastAsia="Times New Roman"/>
              </w:rPr>
              <w:t>0</w:t>
            </w:r>
            <w:r w:rsidR="00BF4373">
              <w:rPr>
                <w:rFonts w:eastAsia="Times New Roman"/>
                <w:lang w:val="uk-UA"/>
              </w:rPr>
              <w:t>4</w:t>
            </w:r>
            <w:r w:rsidR="00DB6E26" w:rsidRPr="002C4B9E">
              <w:rPr>
                <w:rFonts w:eastAsia="Times New Roman"/>
                <w:lang w:val="uk-UA"/>
              </w:rPr>
              <w:t>.</w:t>
            </w:r>
            <w:r w:rsidR="00DB6E26" w:rsidRPr="002C4B9E">
              <w:rPr>
                <w:rFonts w:eastAsia="Times New Roman"/>
              </w:rPr>
              <w:t>202</w:t>
            </w:r>
            <w:r w:rsidR="002C4B9E" w:rsidRPr="002C4B9E">
              <w:rPr>
                <w:rFonts w:eastAsia="Times New Roman"/>
              </w:rPr>
              <w:t>4</w:t>
            </w:r>
            <w:r w:rsidR="00EF363C" w:rsidRPr="002C4B9E">
              <w:rPr>
                <w:rFonts w:eastAsia="Times New Roman"/>
                <w:lang w:val="uk-UA"/>
              </w:rPr>
              <w:t xml:space="preserve"> 00 год 00 хв</w:t>
            </w:r>
            <w:r w:rsidR="00B679AB" w:rsidRPr="002C4B9E">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8F5CC8">
              <w:rPr>
                <w:rFonts w:eastAsia="Times New Roman"/>
                <w:lang w:val="uk-UA"/>
              </w:rPr>
              <w:lastRenderedPageBreak/>
              <w:t>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закупівель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 xml:space="preserve">Строк розгляду тендерної пропозиції, що за результатами оцінки визначена найбільш економічно </w:t>
            </w:r>
            <w:r w:rsidRPr="001347C3">
              <w:rPr>
                <w:rFonts w:eastAsia="Times New Roman"/>
                <w:lang w:val="uk-UA"/>
              </w:rPr>
              <w:lastRenderedPageBreak/>
              <w:t>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має право звернутися за підтвердженням інформації, наданої учасником, до органів державної </w:t>
            </w:r>
            <w:r w:rsidRPr="00EE20C6">
              <w:rPr>
                <w:rFonts w:eastAsia="Times New Roman"/>
                <w:lang w:val="uk-UA"/>
              </w:rPr>
              <w:lastRenderedPageBreak/>
              <w:t>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 xml:space="preserve">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20C6">
              <w:rPr>
                <w:rFonts w:eastAsia="Times New Roman"/>
                <w:lang w:val="uk-UA"/>
              </w:rPr>
              <w:t>невідповідностей</w:t>
            </w:r>
            <w:proofErr w:type="spellEnd"/>
            <w:r w:rsidRPr="00EE20C6">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EE20C6">
              <w:rPr>
                <w:rFonts w:eastAsia="Times New Roman"/>
                <w:lang w:val="uk-UA"/>
              </w:rPr>
              <w:lastRenderedPageBreak/>
              <w:t xml:space="preserve">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723498">
              <w:rPr>
                <w:rFonts w:eastAsia="Times New Roman"/>
                <w:lang w:val="uk-UA"/>
              </w:rPr>
              <w:lastRenderedPageBreak/>
              <w:t xml:space="preserve">отримали цю документацію у встановленому порядку, </w:t>
            </w:r>
            <w:proofErr w:type="spellStart"/>
            <w:r w:rsidRPr="00723498">
              <w:rPr>
                <w:rFonts w:eastAsia="Times New Roman"/>
                <w:lang w:val="uk-UA"/>
              </w:rPr>
              <w:t>означатиме</w:t>
            </w:r>
            <w:proofErr w:type="spellEnd"/>
            <w:r w:rsidRPr="00723498">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723498">
              <w:rPr>
                <w:rFonts w:eastAsia="Times New Roman"/>
                <w:lang w:val="uk-UA"/>
              </w:rPr>
              <w:lastRenderedPageBreak/>
              <w:t>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1F599A" w:rsidRDefault="00723498" w:rsidP="00723498">
            <w:pPr>
              <w:ind w:firstLine="484"/>
              <w:jc w:val="both"/>
              <w:rPr>
                <w:rFonts w:eastAsia="Times New Roman"/>
                <w:lang w:val="uk-UA"/>
              </w:rPr>
            </w:pPr>
            <w:r w:rsidRPr="00723498">
              <w:rPr>
                <w:rFonts w:eastAsia="Times New Roman"/>
                <w:lang w:val="uk-UA"/>
              </w:rPr>
              <w:t xml:space="preserve">— </w:t>
            </w:r>
            <w:r w:rsidR="00FB0E34" w:rsidRPr="001F599A">
              <w:rPr>
                <w:rFonts w:eastAsia="Times New Roman"/>
                <w:lang w:val="uk-UA"/>
              </w:rPr>
              <w:t>П</w:t>
            </w:r>
            <w:r w:rsidRPr="001F599A">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1F599A" w:rsidRDefault="00723498" w:rsidP="00723498">
            <w:pPr>
              <w:ind w:firstLine="484"/>
              <w:jc w:val="both"/>
              <w:rPr>
                <w:rFonts w:eastAsia="Times New Roman"/>
                <w:lang w:val="uk-UA"/>
              </w:rPr>
            </w:pPr>
            <w:r w:rsidRPr="001F599A">
              <w:rPr>
                <w:rFonts w:eastAsia="Times New Roman"/>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1F599A">
              <w:rPr>
                <w:rFonts w:eastAsia="Times New Roman"/>
                <w:lang w:val="uk-UA"/>
              </w:rPr>
              <w:lastRenderedPageBreak/>
              <w:t>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1F599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03A02" w:rsidRDefault="00723498" w:rsidP="00723498">
            <w:pPr>
              <w:ind w:firstLine="484"/>
              <w:jc w:val="both"/>
              <w:rPr>
                <w:rFonts w:eastAsia="Times New Roman"/>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w:t>
            </w:r>
            <w:r w:rsidR="00A64C68">
              <w:rPr>
                <w:lang w:val="uk-UA"/>
              </w:rPr>
              <w:t>/</w:t>
            </w:r>
            <w:r w:rsidR="00A64C68" w:rsidRPr="00A64C68">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A64C68">
              <w:rPr>
                <w:rFonts w:eastAsia="Times New Roman"/>
                <w:lang w:val="uk-UA"/>
              </w:rPr>
              <w:t>Ісламської Республіки Іран</w:t>
            </w:r>
            <w:r w:rsidR="00900F6D" w:rsidRPr="00900F6D">
              <w:rPr>
                <w:rFonts w:eastAsia="Times New Roman"/>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громадянин Російської Федерації/Республіки Білорусь</w:t>
            </w:r>
            <w:r w:rsidR="00136A3E">
              <w:rPr>
                <w:rFonts w:eastAsia="Times New Roman"/>
                <w:lang w:val="uk-UA"/>
              </w:rPr>
              <w:t>/</w:t>
            </w:r>
            <w:r w:rsidR="00803A02" w:rsidRPr="00803A02">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xml:space="preserve">, крім випадків коли активи в установленому законодавством порядку передані в управління </w:t>
            </w:r>
            <w:r w:rsidR="00803A02" w:rsidRPr="00803A02">
              <w:rPr>
                <w:rFonts w:eastAsia="Times New Roman"/>
                <w:lang w:val="uk-UA"/>
              </w:rPr>
              <w:t>АРМА</w:t>
            </w:r>
            <w:r w:rsidR="00803A02">
              <w:rPr>
                <w:rFonts w:eastAsia="Times New Roman"/>
                <w:lang w:val="uk-UA"/>
              </w:rPr>
              <w:t>;</w:t>
            </w:r>
          </w:p>
          <w:p w:rsidR="001663E7" w:rsidRPr="00CD7243" w:rsidRDefault="00803A02" w:rsidP="00803A02">
            <w:pPr>
              <w:jc w:val="both"/>
              <w:rPr>
                <w:lang w:val="uk-UA"/>
              </w:rPr>
            </w:pPr>
            <w:r w:rsidRPr="00803A02">
              <w:rPr>
                <w:rFonts w:eastAsia="Times New Roman"/>
                <w:lang w:val="uk-UA"/>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4" w:name="26in1rg"/>
            <w:bookmarkEnd w:id="4"/>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974CE9" w:rsidRDefault="00B81202" w:rsidP="00B81202">
            <w:pPr>
              <w:pStyle w:val="af4"/>
              <w:ind w:left="0"/>
              <w:jc w:val="both"/>
              <w:textAlignment w:val="baseline"/>
              <w:rPr>
                <w:lang w:val="uk-UA"/>
              </w:rPr>
            </w:pPr>
            <w:r w:rsidRPr="00B81202">
              <w:rPr>
                <w:lang w:val="uk-UA"/>
              </w:rPr>
              <w:t xml:space="preserve">— </w:t>
            </w:r>
            <w:r w:rsidR="00974CE9" w:rsidRPr="00974CE9">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974CE9" w:rsidRPr="00974CE9">
              <w:rPr>
                <w:lang w:val="uk-UA"/>
              </w:rPr>
              <w:t>бенефіціарним</w:t>
            </w:r>
            <w:proofErr w:type="spellEnd"/>
            <w:r w:rsidR="00974CE9" w:rsidRPr="00974CE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4"/>
              <w:ind w:left="0"/>
              <w:jc w:val="both"/>
              <w:textAlignment w:val="baseline"/>
              <w:rPr>
                <w:lang w:val="uk-UA"/>
              </w:rPr>
            </w:pPr>
            <w:r w:rsidRPr="00C72EB6">
              <w:rPr>
                <w:lang w:val="uk-UA"/>
              </w:rPr>
              <w:t>2)</w:t>
            </w:r>
            <w:r w:rsidRPr="00B81202">
              <w:rPr>
                <w:lang w:val="uk-UA"/>
              </w:rPr>
              <w:t xml:space="preserve"> тендерна пропозиція:</w:t>
            </w:r>
          </w:p>
          <w:p w:rsidR="00B81202" w:rsidRPr="00B81202" w:rsidRDefault="00B81202" w:rsidP="00B81202">
            <w:pPr>
              <w:pStyle w:val="af4"/>
              <w:ind w:left="0"/>
              <w:jc w:val="both"/>
              <w:textAlignment w:val="baseline"/>
              <w:rPr>
                <w:lang w:val="uk-UA"/>
              </w:rPr>
            </w:pPr>
            <w:r w:rsidRPr="00B81202">
              <w:rPr>
                <w:lang w:val="uk-UA"/>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4"/>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4"/>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4"/>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4"/>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4"/>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4"/>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4"/>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4"/>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4"/>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4"/>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4"/>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4"/>
              <w:ind w:left="-58"/>
              <w:jc w:val="both"/>
              <w:textAlignment w:val="baseline"/>
              <w:rPr>
                <w:lang w:val="uk-UA"/>
              </w:rPr>
            </w:pPr>
            <w:r w:rsidRPr="00B661DF">
              <w:rPr>
                <w:lang w:val="uk-UA"/>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4"/>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5" w:name="z337ya"/>
            <w:bookmarkEnd w:id="5"/>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Електронною системою закупівель автоматично </w:t>
            </w:r>
            <w:r w:rsidRPr="00B661DF">
              <w:rPr>
                <w:rFonts w:eastAsia="Times New Roman"/>
                <w:lang w:val="uk-UA"/>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w:t>
            </w:r>
            <w:r w:rsidRPr="008C10FD">
              <w:rPr>
                <w:lang w:val="uk-UA"/>
              </w:rPr>
              <w:lastRenderedPageBreak/>
              <w:t>«Строк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w:t>
            </w:r>
            <w:r w:rsidR="0018576C" w:rsidRPr="0018576C">
              <w:rPr>
                <w:rFonts w:eastAsia="Times New Roman"/>
                <w:color w:val="000000"/>
                <w:lang w:val="uk-UA"/>
              </w:rPr>
              <w:t xml:space="preserve">(крім підпункту 13 пункту 13) </w:t>
            </w:r>
            <w:r w:rsidR="00550BFE" w:rsidRPr="00550BFE">
              <w:rPr>
                <w:rFonts w:eastAsia="Times New Roman"/>
                <w:color w:val="000000"/>
                <w:lang w:val="uk-UA"/>
              </w:rPr>
              <w:t xml:space="preserve">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6" w:name="n371"/>
            <w:bookmarkStart w:id="7" w:name="n372"/>
            <w:bookmarkEnd w:id="6"/>
            <w:bookmarkEnd w:id="7"/>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5C70">
              <w:rPr>
                <w:rFonts w:eastAsia="Times New Roman"/>
                <w:lang w:val="uk-UA"/>
              </w:rPr>
              <w:t>пропорційно</w:t>
            </w:r>
            <w:proofErr w:type="spellEnd"/>
            <w:r w:rsidRPr="00F35C70">
              <w:rPr>
                <w:rFonts w:eastAsia="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2EB">
              <w:rPr>
                <w:rFonts w:eastAsia="Times New Roman"/>
                <w:lang w:val="uk-UA"/>
              </w:rPr>
              <w:t>пропорційно</w:t>
            </w:r>
            <w:proofErr w:type="spellEnd"/>
            <w:r w:rsidRPr="003332EB">
              <w:rPr>
                <w:rFonts w:eastAsia="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332EB">
              <w:rPr>
                <w:rFonts w:eastAsia="Times New Roman"/>
                <w:lang w:val="uk-UA"/>
              </w:rPr>
              <w:t>пропорційно</w:t>
            </w:r>
            <w:proofErr w:type="spellEnd"/>
            <w:r w:rsidRPr="003332EB">
              <w:rPr>
                <w:rFonts w:eastAsia="Times New Roman"/>
                <w:lang w:val="uk-UA"/>
              </w:rPr>
              <w:t xml:space="preserve"> до зміни податкового навантаження внаслідок зміни системи оподаткування;</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r w:rsidR="00E57E9D">
        <w:rPr>
          <w:lang w:val="uk-UA"/>
        </w:rPr>
        <w:t>.</w:t>
      </w:r>
    </w:p>
    <w:p w:rsidR="00F23C10" w:rsidRPr="00F23C10" w:rsidRDefault="00F23C10" w:rsidP="00F23C10">
      <w:pPr>
        <w:rPr>
          <w:lang w:val="uk-UA"/>
        </w:rPr>
      </w:pPr>
      <w:r w:rsidRPr="00F23C10">
        <w:rPr>
          <w:lang w:val="uk-UA"/>
        </w:rPr>
        <w:t>Додаток 2. Технічн</w:t>
      </w:r>
      <w:r w:rsidR="00137D6B">
        <w:rPr>
          <w:lang w:val="uk-UA"/>
        </w:rPr>
        <w:t>і</w:t>
      </w:r>
      <w:r w:rsidRPr="00F23C10">
        <w:rPr>
          <w:lang w:val="uk-UA"/>
        </w:rPr>
        <w:t xml:space="preserve"> </w:t>
      </w:r>
      <w:r w:rsidR="00137D6B">
        <w:rPr>
          <w:lang w:val="uk-UA"/>
        </w:rPr>
        <w:t>вимоги</w:t>
      </w:r>
      <w:r w:rsidRPr="00F23C10">
        <w:rPr>
          <w:lang w:val="uk-UA"/>
        </w:rPr>
        <w:t>.</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r w:rsidR="00E57E9D">
        <w:rPr>
          <w:lang w:val="uk-UA"/>
        </w:rPr>
        <w:t>.</w:t>
      </w:r>
    </w:p>
    <w:p w:rsidR="00E57E9D" w:rsidRDefault="0069053F" w:rsidP="00F23C10">
      <w:pPr>
        <w:rPr>
          <w:lang w:val="uk-UA"/>
        </w:rPr>
      </w:pPr>
      <w:r>
        <w:rPr>
          <w:lang w:val="uk-UA"/>
        </w:rPr>
        <w:t xml:space="preserve">Додаток 4 </w:t>
      </w:r>
      <w:r w:rsidRPr="0069053F">
        <w:rPr>
          <w:lang w:val="uk-UA"/>
        </w:rPr>
        <w:t>Ц</w:t>
      </w:r>
      <w:r>
        <w:rPr>
          <w:lang w:val="uk-UA"/>
        </w:rPr>
        <w:t>інова</w:t>
      </w:r>
      <w:r w:rsidRPr="0069053F">
        <w:rPr>
          <w:lang w:val="uk-UA"/>
        </w:rPr>
        <w:t xml:space="preserve"> </w:t>
      </w:r>
      <w:r>
        <w:rPr>
          <w:lang w:val="uk-UA"/>
        </w:rPr>
        <w:t>пропозиція.</w:t>
      </w:r>
      <w:bookmarkStart w:id="8" w:name="_GoBack"/>
      <w:bookmarkEnd w:id="8"/>
    </w:p>
    <w:sectPr w:rsidR="00E57E9D"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EF" w:rsidRDefault="000E36EF">
      <w:r>
        <w:separator/>
      </w:r>
    </w:p>
  </w:endnote>
  <w:endnote w:type="continuationSeparator" w:id="0">
    <w:p w:rsidR="000E36EF" w:rsidRDefault="000E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EF" w:rsidRDefault="000E36EF">
      <w:r>
        <w:separator/>
      </w:r>
    </w:p>
  </w:footnote>
  <w:footnote w:type="continuationSeparator" w:id="0">
    <w:p w:rsidR="000E36EF" w:rsidRDefault="000E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B0"/>
    <w:rsid w:val="000008A1"/>
    <w:rsid w:val="000054C3"/>
    <w:rsid w:val="00010941"/>
    <w:rsid w:val="0001722C"/>
    <w:rsid w:val="000447B8"/>
    <w:rsid w:val="000471C6"/>
    <w:rsid w:val="0006059F"/>
    <w:rsid w:val="00077614"/>
    <w:rsid w:val="000956A4"/>
    <w:rsid w:val="000A0ED1"/>
    <w:rsid w:val="000A13B8"/>
    <w:rsid w:val="000A1EAC"/>
    <w:rsid w:val="000B0880"/>
    <w:rsid w:val="000C05CC"/>
    <w:rsid w:val="000C2FF4"/>
    <w:rsid w:val="000D6CB2"/>
    <w:rsid w:val="000E36EF"/>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36A3E"/>
    <w:rsid w:val="00137D6B"/>
    <w:rsid w:val="00140EB6"/>
    <w:rsid w:val="001427DF"/>
    <w:rsid w:val="00143AFE"/>
    <w:rsid w:val="00144EC0"/>
    <w:rsid w:val="00145A6A"/>
    <w:rsid w:val="00152191"/>
    <w:rsid w:val="0015229D"/>
    <w:rsid w:val="0016152A"/>
    <w:rsid w:val="001642BE"/>
    <w:rsid w:val="001663E7"/>
    <w:rsid w:val="00175D13"/>
    <w:rsid w:val="0018576C"/>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1F599A"/>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13B8"/>
    <w:rsid w:val="00287A50"/>
    <w:rsid w:val="0029519F"/>
    <w:rsid w:val="00296905"/>
    <w:rsid w:val="002A72FB"/>
    <w:rsid w:val="002B1866"/>
    <w:rsid w:val="002B33D8"/>
    <w:rsid w:val="002C24F8"/>
    <w:rsid w:val="002C4B9E"/>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4504A"/>
    <w:rsid w:val="003506FF"/>
    <w:rsid w:val="0035296A"/>
    <w:rsid w:val="00353A19"/>
    <w:rsid w:val="00353AA5"/>
    <w:rsid w:val="0035513F"/>
    <w:rsid w:val="00355E65"/>
    <w:rsid w:val="00357C91"/>
    <w:rsid w:val="0036064A"/>
    <w:rsid w:val="00363563"/>
    <w:rsid w:val="00365DF7"/>
    <w:rsid w:val="003661FF"/>
    <w:rsid w:val="0036678F"/>
    <w:rsid w:val="0037171F"/>
    <w:rsid w:val="00371BEC"/>
    <w:rsid w:val="00372DF4"/>
    <w:rsid w:val="003819DC"/>
    <w:rsid w:val="00384D0E"/>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2EF"/>
    <w:rsid w:val="00467F39"/>
    <w:rsid w:val="0047061F"/>
    <w:rsid w:val="00472FB0"/>
    <w:rsid w:val="004738D6"/>
    <w:rsid w:val="00477411"/>
    <w:rsid w:val="004A0DE7"/>
    <w:rsid w:val="004A2EEA"/>
    <w:rsid w:val="004A6E6C"/>
    <w:rsid w:val="004A7B61"/>
    <w:rsid w:val="004B4DDE"/>
    <w:rsid w:val="004B704B"/>
    <w:rsid w:val="004B7D47"/>
    <w:rsid w:val="004E2345"/>
    <w:rsid w:val="004E4D9D"/>
    <w:rsid w:val="004E73F2"/>
    <w:rsid w:val="00503BF3"/>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53D4C"/>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6463"/>
    <w:rsid w:val="0069053F"/>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03A02"/>
    <w:rsid w:val="008136F6"/>
    <w:rsid w:val="00814DD5"/>
    <w:rsid w:val="008152CD"/>
    <w:rsid w:val="008168EF"/>
    <w:rsid w:val="0082458F"/>
    <w:rsid w:val="00825C8F"/>
    <w:rsid w:val="0083241F"/>
    <w:rsid w:val="008326FC"/>
    <w:rsid w:val="00832F6A"/>
    <w:rsid w:val="008343F6"/>
    <w:rsid w:val="00862F66"/>
    <w:rsid w:val="0086680F"/>
    <w:rsid w:val="008670E8"/>
    <w:rsid w:val="00871C3A"/>
    <w:rsid w:val="00872024"/>
    <w:rsid w:val="00876272"/>
    <w:rsid w:val="00893859"/>
    <w:rsid w:val="00894974"/>
    <w:rsid w:val="00894B67"/>
    <w:rsid w:val="00896011"/>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235B7"/>
    <w:rsid w:val="009306D4"/>
    <w:rsid w:val="00931B87"/>
    <w:rsid w:val="00931FC8"/>
    <w:rsid w:val="00932DBD"/>
    <w:rsid w:val="009340EC"/>
    <w:rsid w:val="0093436E"/>
    <w:rsid w:val="00946093"/>
    <w:rsid w:val="00947D0A"/>
    <w:rsid w:val="00956E5A"/>
    <w:rsid w:val="00974042"/>
    <w:rsid w:val="00974CE9"/>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51680"/>
    <w:rsid w:val="00A63F9B"/>
    <w:rsid w:val="00A64C68"/>
    <w:rsid w:val="00A70B2B"/>
    <w:rsid w:val="00A77815"/>
    <w:rsid w:val="00A86D11"/>
    <w:rsid w:val="00AA4F34"/>
    <w:rsid w:val="00AB3797"/>
    <w:rsid w:val="00AB4F8B"/>
    <w:rsid w:val="00AD12A1"/>
    <w:rsid w:val="00AD3424"/>
    <w:rsid w:val="00AD475F"/>
    <w:rsid w:val="00AD784E"/>
    <w:rsid w:val="00AE2469"/>
    <w:rsid w:val="00AE402A"/>
    <w:rsid w:val="00AF208F"/>
    <w:rsid w:val="00AF28CC"/>
    <w:rsid w:val="00AF4F4B"/>
    <w:rsid w:val="00AF6428"/>
    <w:rsid w:val="00B02A17"/>
    <w:rsid w:val="00B05C34"/>
    <w:rsid w:val="00B0642E"/>
    <w:rsid w:val="00B10E28"/>
    <w:rsid w:val="00B14B95"/>
    <w:rsid w:val="00B14CC6"/>
    <w:rsid w:val="00B1731E"/>
    <w:rsid w:val="00B23DE0"/>
    <w:rsid w:val="00B31E81"/>
    <w:rsid w:val="00B35C41"/>
    <w:rsid w:val="00B36A8D"/>
    <w:rsid w:val="00B37E7B"/>
    <w:rsid w:val="00B42BAF"/>
    <w:rsid w:val="00B50C0E"/>
    <w:rsid w:val="00B62CE1"/>
    <w:rsid w:val="00B64B1F"/>
    <w:rsid w:val="00B64B96"/>
    <w:rsid w:val="00B661DF"/>
    <w:rsid w:val="00B679AB"/>
    <w:rsid w:val="00B71657"/>
    <w:rsid w:val="00B717C2"/>
    <w:rsid w:val="00B722A8"/>
    <w:rsid w:val="00B805CE"/>
    <w:rsid w:val="00B81202"/>
    <w:rsid w:val="00B83100"/>
    <w:rsid w:val="00B868C3"/>
    <w:rsid w:val="00B91F25"/>
    <w:rsid w:val="00BA0B99"/>
    <w:rsid w:val="00BA6E1B"/>
    <w:rsid w:val="00BB3C9A"/>
    <w:rsid w:val="00BB3FB9"/>
    <w:rsid w:val="00BB467F"/>
    <w:rsid w:val="00BB5956"/>
    <w:rsid w:val="00BC54F2"/>
    <w:rsid w:val="00BD649A"/>
    <w:rsid w:val="00BD7544"/>
    <w:rsid w:val="00BE0BE5"/>
    <w:rsid w:val="00BE76E1"/>
    <w:rsid w:val="00BF4373"/>
    <w:rsid w:val="00BF55B8"/>
    <w:rsid w:val="00BF74CC"/>
    <w:rsid w:val="00C0113D"/>
    <w:rsid w:val="00C023B5"/>
    <w:rsid w:val="00C100E6"/>
    <w:rsid w:val="00C109AD"/>
    <w:rsid w:val="00C1413D"/>
    <w:rsid w:val="00C15196"/>
    <w:rsid w:val="00C155A8"/>
    <w:rsid w:val="00C1634C"/>
    <w:rsid w:val="00C24B76"/>
    <w:rsid w:val="00C27238"/>
    <w:rsid w:val="00C3349B"/>
    <w:rsid w:val="00C3681C"/>
    <w:rsid w:val="00C4349F"/>
    <w:rsid w:val="00C47E17"/>
    <w:rsid w:val="00C61C7A"/>
    <w:rsid w:val="00C631C8"/>
    <w:rsid w:val="00C67575"/>
    <w:rsid w:val="00C67761"/>
    <w:rsid w:val="00C72EB6"/>
    <w:rsid w:val="00C77815"/>
    <w:rsid w:val="00C84F18"/>
    <w:rsid w:val="00C85EF2"/>
    <w:rsid w:val="00C913CB"/>
    <w:rsid w:val="00C91A46"/>
    <w:rsid w:val="00C92F45"/>
    <w:rsid w:val="00C96249"/>
    <w:rsid w:val="00CA1634"/>
    <w:rsid w:val="00CA2BE0"/>
    <w:rsid w:val="00CA3CB5"/>
    <w:rsid w:val="00CA4350"/>
    <w:rsid w:val="00CB2C97"/>
    <w:rsid w:val="00CB42D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25AF5"/>
    <w:rsid w:val="00D3533F"/>
    <w:rsid w:val="00D37335"/>
    <w:rsid w:val="00D40086"/>
    <w:rsid w:val="00D454DF"/>
    <w:rsid w:val="00D62358"/>
    <w:rsid w:val="00D64B97"/>
    <w:rsid w:val="00D666C0"/>
    <w:rsid w:val="00D66772"/>
    <w:rsid w:val="00D7058C"/>
    <w:rsid w:val="00D839C9"/>
    <w:rsid w:val="00DA2090"/>
    <w:rsid w:val="00DA35FD"/>
    <w:rsid w:val="00DA7705"/>
    <w:rsid w:val="00DA7F2A"/>
    <w:rsid w:val="00DB1B10"/>
    <w:rsid w:val="00DB2AE1"/>
    <w:rsid w:val="00DB4A0E"/>
    <w:rsid w:val="00DB4CCD"/>
    <w:rsid w:val="00DB6E26"/>
    <w:rsid w:val="00DC02C5"/>
    <w:rsid w:val="00DD03D9"/>
    <w:rsid w:val="00DD386E"/>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57E9D"/>
    <w:rsid w:val="00E6760D"/>
    <w:rsid w:val="00E73611"/>
    <w:rsid w:val="00E76DA9"/>
    <w:rsid w:val="00E7761A"/>
    <w:rsid w:val="00E84102"/>
    <w:rsid w:val="00E85E66"/>
    <w:rsid w:val="00E868B0"/>
    <w:rsid w:val="00E91A9D"/>
    <w:rsid w:val="00E97AA3"/>
    <w:rsid w:val="00EA21F0"/>
    <w:rsid w:val="00EA2D72"/>
    <w:rsid w:val="00EA42F1"/>
    <w:rsid w:val="00EA4414"/>
    <w:rsid w:val="00EB05F7"/>
    <w:rsid w:val="00EB548A"/>
    <w:rsid w:val="00EC36FC"/>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6184"/>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5">
    <w:name w:val="foot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Нижні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
    <w:link w:val="af8"/>
    <w:uiPriority w:val="99"/>
    <w:rsid w:val="006966C9"/>
    <w:pPr>
      <w:tabs>
        <w:tab w:val="center" w:pos="4819"/>
        <w:tab w:val="right" w:pos="9639"/>
      </w:tabs>
    </w:pPr>
    <w:rPr>
      <w:rFonts w:eastAsia="Times New Roman"/>
      <w:color w:val="auto"/>
      <w:lang w:val="uk-UA"/>
    </w:rPr>
  </w:style>
  <w:style w:type="character" w:customStyle="1" w:styleId="af8">
    <w:name w:val="Верхній колонтитул Знак"/>
    <w:basedOn w:val="a0"/>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0"/>
    <w:uiPriority w:val="99"/>
    <w:rsid w:val="006966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6A57-9C32-4C83-A8A3-AEEE23E4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27</Pages>
  <Words>39864</Words>
  <Characters>22724</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vk</cp:lastModifiedBy>
  <cp:revision>39</cp:revision>
  <dcterms:created xsi:type="dcterms:W3CDTF">2023-09-01T13:03:00Z</dcterms:created>
  <dcterms:modified xsi:type="dcterms:W3CDTF">2024-04-12T14:26:00Z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