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9C" w:rsidRDefault="00CB269C" w:rsidP="00CB269C">
      <w:pPr>
        <w:jc w:val="right"/>
        <w:rPr>
          <w:b/>
          <w:i/>
          <w:sz w:val="24"/>
          <w:szCs w:val="24"/>
          <w:lang w:val="uk-UA"/>
        </w:rPr>
      </w:pPr>
      <w:r>
        <w:rPr>
          <w:b/>
          <w:sz w:val="24"/>
          <w:szCs w:val="24"/>
          <w:lang w:val="uk-UA"/>
        </w:rPr>
        <w:t>Додаток</w:t>
      </w:r>
      <w:r>
        <w:rPr>
          <w:b/>
          <w:i/>
          <w:sz w:val="24"/>
          <w:szCs w:val="24"/>
          <w:lang w:val="uk-UA"/>
        </w:rPr>
        <w:t xml:space="preserve"> №1</w:t>
      </w:r>
    </w:p>
    <w:p w:rsidR="00CB269C" w:rsidRDefault="00CB269C" w:rsidP="00CB269C">
      <w:pPr>
        <w:jc w:val="right"/>
        <w:rPr>
          <w:sz w:val="24"/>
          <w:szCs w:val="24"/>
          <w:lang w:val="uk-UA"/>
        </w:rPr>
      </w:pPr>
      <w:r>
        <w:rPr>
          <w:i/>
          <w:sz w:val="24"/>
          <w:szCs w:val="24"/>
          <w:lang w:val="uk-UA"/>
        </w:rPr>
        <w:t>до тендерної документації</w:t>
      </w:r>
    </w:p>
    <w:p w:rsidR="00CB269C" w:rsidRDefault="00CB269C" w:rsidP="00CB269C">
      <w:pPr>
        <w:jc w:val="center"/>
        <w:rPr>
          <w:b/>
          <w:spacing w:val="7"/>
          <w:sz w:val="24"/>
          <w:szCs w:val="24"/>
          <w:lang w:val="uk-UA"/>
        </w:rPr>
      </w:pPr>
    </w:p>
    <w:p w:rsidR="00CB269C" w:rsidRDefault="00CB269C" w:rsidP="00CB269C">
      <w:pPr>
        <w:jc w:val="center"/>
        <w:rPr>
          <w:b/>
          <w:spacing w:val="7"/>
          <w:sz w:val="24"/>
          <w:szCs w:val="24"/>
          <w:lang w:val="uk-UA"/>
        </w:rPr>
      </w:pPr>
      <w:r>
        <w:rPr>
          <w:b/>
          <w:spacing w:val="7"/>
          <w:sz w:val="24"/>
          <w:szCs w:val="24"/>
          <w:lang w:val="uk-UA"/>
        </w:rPr>
        <w:t>ТЕХНІЧНА  СПЕЦИФІКАЦІЯ</w:t>
      </w:r>
    </w:p>
    <w:p w:rsidR="00F86511" w:rsidRDefault="00F86511" w:rsidP="00CB269C">
      <w:pPr>
        <w:jc w:val="center"/>
        <w:rPr>
          <w:b/>
          <w:spacing w:val="7"/>
          <w:sz w:val="24"/>
          <w:szCs w:val="24"/>
          <w:lang w:val="uk-UA"/>
        </w:rPr>
      </w:pPr>
    </w:p>
    <w:p w:rsidR="00CB269C" w:rsidRDefault="00CB269C" w:rsidP="00CB269C">
      <w:pPr>
        <w:rPr>
          <w:b/>
          <w:spacing w:val="7"/>
          <w:sz w:val="24"/>
          <w:szCs w:val="24"/>
          <w:highlight w:val="yellow"/>
          <w:lang w:val="uk-UA"/>
        </w:rPr>
      </w:pPr>
    </w:p>
    <w:p w:rsidR="00CB269C" w:rsidRDefault="00CB269C" w:rsidP="00CB269C">
      <w:pPr>
        <w:jc w:val="both"/>
        <w:rPr>
          <w:b/>
          <w:sz w:val="24"/>
          <w:szCs w:val="24"/>
          <w:lang w:val="uk-UA"/>
        </w:rPr>
      </w:pPr>
      <w:r>
        <w:rPr>
          <w:b/>
          <w:sz w:val="24"/>
          <w:szCs w:val="24"/>
          <w:lang w:val="uk-UA"/>
        </w:rPr>
        <w:t xml:space="preserve">       Предмет закупівлі: </w:t>
      </w:r>
    </w:p>
    <w:p w:rsidR="00CB269C" w:rsidRDefault="00CB269C" w:rsidP="00CB269C">
      <w:pPr>
        <w:jc w:val="both"/>
        <w:rPr>
          <w:kern w:val="2"/>
          <w:sz w:val="24"/>
          <w:szCs w:val="24"/>
          <w:lang w:val="uk-UA"/>
        </w:rPr>
      </w:pPr>
      <w:r>
        <w:rPr>
          <w:sz w:val="24"/>
          <w:szCs w:val="24"/>
          <w:lang w:val="uk-UA"/>
        </w:rPr>
        <w:t xml:space="preserve">ДК 021:2015 – 09120000 – 6 </w:t>
      </w:r>
      <w:r>
        <w:rPr>
          <w:kern w:val="2"/>
          <w:sz w:val="24"/>
          <w:szCs w:val="24"/>
          <w:lang w:val="uk-UA"/>
        </w:rPr>
        <w:t>Газове паливо (Природний газ).</w:t>
      </w:r>
    </w:p>
    <w:p w:rsidR="00CB269C" w:rsidRDefault="00CB269C" w:rsidP="00CB269C">
      <w:pPr>
        <w:jc w:val="both"/>
        <w:rPr>
          <w:b/>
          <w:sz w:val="24"/>
          <w:szCs w:val="24"/>
          <w:lang w:val="uk-UA"/>
        </w:rPr>
      </w:pPr>
      <w:r>
        <w:rPr>
          <w:b/>
          <w:sz w:val="24"/>
          <w:szCs w:val="24"/>
          <w:lang w:val="uk-UA"/>
        </w:rPr>
        <w:t xml:space="preserve">       Необхідність здійснення закупівлі:</w:t>
      </w:r>
    </w:p>
    <w:p w:rsidR="00CB269C" w:rsidRDefault="00CB269C" w:rsidP="00CB269C">
      <w:pPr>
        <w:jc w:val="both"/>
        <w:rPr>
          <w:sz w:val="24"/>
          <w:szCs w:val="24"/>
          <w:lang w:val="uk-UA"/>
        </w:rPr>
      </w:pPr>
      <w:r>
        <w:rPr>
          <w:sz w:val="24"/>
          <w:szCs w:val="24"/>
          <w:lang w:val="uk-UA"/>
        </w:rPr>
        <w:t>Для забезпечення потреб</w:t>
      </w:r>
      <w:r w:rsidR="0091507F">
        <w:rPr>
          <w:sz w:val="24"/>
          <w:szCs w:val="24"/>
          <w:lang w:val="uk-UA"/>
        </w:rPr>
        <w:t xml:space="preserve"> </w:t>
      </w:r>
      <w:proofErr w:type="spellStart"/>
      <w:r w:rsidR="0091507F">
        <w:rPr>
          <w:sz w:val="24"/>
          <w:szCs w:val="24"/>
          <w:lang w:val="uk-UA"/>
        </w:rPr>
        <w:t>Болехівського</w:t>
      </w:r>
      <w:proofErr w:type="spellEnd"/>
      <w:r w:rsidR="0091507F">
        <w:rPr>
          <w:sz w:val="24"/>
          <w:szCs w:val="24"/>
          <w:lang w:val="uk-UA"/>
        </w:rPr>
        <w:t xml:space="preserve"> ліцею №2 «Науковий</w:t>
      </w:r>
      <w:r w:rsidR="008B26FF">
        <w:rPr>
          <w:sz w:val="24"/>
          <w:szCs w:val="24"/>
          <w:lang w:val="uk-UA"/>
        </w:rPr>
        <w:t>»</w:t>
      </w:r>
      <w:bookmarkStart w:id="0" w:name="_GoBack"/>
      <w:bookmarkEnd w:id="0"/>
      <w:r w:rsidR="0091507F">
        <w:rPr>
          <w:sz w:val="24"/>
          <w:szCs w:val="24"/>
          <w:lang w:val="uk-UA"/>
        </w:rPr>
        <w:t xml:space="preserve"> </w:t>
      </w:r>
      <w:proofErr w:type="spellStart"/>
      <w:r w:rsidR="0091507F">
        <w:rPr>
          <w:sz w:val="24"/>
          <w:szCs w:val="24"/>
          <w:lang w:val="uk-UA"/>
        </w:rPr>
        <w:t>Болехівської</w:t>
      </w:r>
      <w:proofErr w:type="spellEnd"/>
      <w:r w:rsidR="0091507F">
        <w:rPr>
          <w:sz w:val="24"/>
          <w:szCs w:val="24"/>
          <w:lang w:val="uk-UA"/>
        </w:rPr>
        <w:t xml:space="preserve"> міської ради</w:t>
      </w:r>
    </w:p>
    <w:p w:rsidR="00CB269C" w:rsidRDefault="00CB269C" w:rsidP="00CB269C">
      <w:pPr>
        <w:pStyle w:val="1"/>
        <w:shd w:val="clear" w:color="auto" w:fill="auto"/>
        <w:spacing w:line="250" w:lineRule="exact"/>
        <w:rPr>
          <w:rFonts w:ascii="Times New Roman" w:hAnsi="Times New Roman" w:cs="Times New Roman"/>
          <w:sz w:val="24"/>
          <w:szCs w:val="24"/>
        </w:rPr>
      </w:pPr>
      <w:r>
        <w:rPr>
          <w:rFonts w:ascii="Times New Roman" w:hAnsi="Times New Roman" w:cs="Times New Roman"/>
          <w:sz w:val="24"/>
          <w:szCs w:val="24"/>
        </w:rPr>
        <w:t>Україна 77202</w:t>
      </w:r>
    </w:p>
    <w:p w:rsidR="00CB269C" w:rsidRDefault="00CB269C" w:rsidP="00CB269C">
      <w:pPr>
        <w:pStyle w:val="1"/>
        <w:shd w:val="clear" w:color="auto" w:fill="auto"/>
        <w:spacing w:line="250" w:lineRule="exact"/>
        <w:rPr>
          <w:rFonts w:ascii="Times New Roman" w:hAnsi="Times New Roman" w:cs="Times New Roman"/>
          <w:sz w:val="24"/>
          <w:szCs w:val="24"/>
        </w:rPr>
      </w:pPr>
      <w:r>
        <w:rPr>
          <w:rFonts w:ascii="Times New Roman" w:hAnsi="Times New Roman" w:cs="Times New Roman"/>
          <w:sz w:val="24"/>
          <w:szCs w:val="24"/>
        </w:rPr>
        <w:t xml:space="preserve">Івано-Франківська область </w:t>
      </w:r>
    </w:p>
    <w:p w:rsidR="00CB269C" w:rsidRDefault="00CB269C" w:rsidP="00CB269C">
      <w:pPr>
        <w:pStyle w:val="a6"/>
        <w:ind w:left="0"/>
        <w:rPr>
          <w:snapToGrid w:val="0"/>
          <w:sz w:val="22"/>
          <w:szCs w:val="22"/>
        </w:rPr>
      </w:pPr>
      <w:proofErr w:type="spellStart"/>
      <w:r>
        <w:rPr>
          <w:snapToGrid w:val="0"/>
          <w:sz w:val="22"/>
          <w:szCs w:val="22"/>
        </w:rPr>
        <w:t>м.Болехів</w:t>
      </w:r>
      <w:proofErr w:type="spellEnd"/>
      <w:r>
        <w:rPr>
          <w:snapToGrid w:val="0"/>
          <w:sz w:val="22"/>
          <w:szCs w:val="22"/>
        </w:rPr>
        <w:t>,</w:t>
      </w:r>
    </w:p>
    <w:p w:rsidR="00CB269C" w:rsidRPr="00306F5A" w:rsidRDefault="0091507F" w:rsidP="00306F5A">
      <w:pPr>
        <w:pStyle w:val="a6"/>
        <w:ind w:left="0"/>
        <w:rPr>
          <w:snapToGrid w:val="0"/>
          <w:sz w:val="22"/>
          <w:szCs w:val="22"/>
        </w:rPr>
      </w:pPr>
      <w:r>
        <w:rPr>
          <w:snapToGrid w:val="0"/>
          <w:sz w:val="22"/>
          <w:szCs w:val="22"/>
        </w:rPr>
        <w:t>вул. Гагаріна,12</w:t>
      </w:r>
    </w:p>
    <w:p w:rsidR="00CB269C" w:rsidRDefault="00CB269C" w:rsidP="00CB269C">
      <w:pPr>
        <w:jc w:val="both"/>
        <w:rPr>
          <w:sz w:val="24"/>
          <w:szCs w:val="24"/>
          <w:highlight w:val="yellow"/>
          <w:lang w:val="uk-UA"/>
        </w:rPr>
      </w:pPr>
    </w:p>
    <w:p w:rsidR="00CB269C" w:rsidRDefault="00CB269C" w:rsidP="00CB269C">
      <w:pPr>
        <w:jc w:val="center"/>
        <w:rPr>
          <w:b/>
          <w:sz w:val="24"/>
          <w:szCs w:val="24"/>
          <w:lang w:val="uk-UA"/>
        </w:rPr>
      </w:pPr>
      <w:r>
        <w:rPr>
          <w:b/>
          <w:sz w:val="24"/>
          <w:szCs w:val="24"/>
          <w:lang w:val="uk-UA"/>
        </w:rPr>
        <w:t>ОПИС ПРЕДМЕТУ ЗАКУПІВЛІ</w:t>
      </w:r>
    </w:p>
    <w:p w:rsidR="00CB269C" w:rsidRDefault="00CB269C" w:rsidP="00CB269C">
      <w:pPr>
        <w:jc w:val="both"/>
        <w:rPr>
          <w:b/>
          <w:sz w:val="24"/>
          <w:szCs w:val="24"/>
          <w:lang w:val="uk-UA"/>
        </w:rPr>
      </w:pPr>
    </w:p>
    <w:p w:rsidR="00CB269C" w:rsidRDefault="00CB269C" w:rsidP="00CB269C">
      <w:pPr>
        <w:jc w:val="both"/>
        <w:rPr>
          <w:sz w:val="24"/>
          <w:szCs w:val="24"/>
          <w:lang w:val="uk-UA"/>
        </w:rPr>
      </w:pPr>
      <w:r>
        <w:rPr>
          <w:b/>
          <w:sz w:val="24"/>
          <w:szCs w:val="24"/>
          <w:lang w:val="uk-UA"/>
        </w:rPr>
        <w:t xml:space="preserve">       1.</w:t>
      </w:r>
      <w:r>
        <w:rPr>
          <w:color w:val="FF0000"/>
          <w:sz w:val="24"/>
          <w:szCs w:val="24"/>
          <w:lang w:val="uk-UA"/>
        </w:rPr>
        <w:t> </w:t>
      </w:r>
      <w:r>
        <w:rPr>
          <w:sz w:val="24"/>
          <w:szCs w:val="24"/>
          <w:lang w:val="uk-UA"/>
        </w:rPr>
        <w:t>Строк поставки  Товару:  з 1 січня 2023 року по 31 березня 2023року (включно).</w:t>
      </w:r>
    </w:p>
    <w:p w:rsidR="00CB269C" w:rsidRPr="00F86511" w:rsidRDefault="00CB269C" w:rsidP="00CB269C">
      <w:pPr>
        <w:jc w:val="both"/>
        <w:rPr>
          <w:color w:val="FF0000"/>
          <w:sz w:val="24"/>
          <w:szCs w:val="24"/>
          <w:lang w:val="uk-UA"/>
        </w:rPr>
      </w:pPr>
      <w:r>
        <w:rPr>
          <w:b/>
          <w:sz w:val="24"/>
          <w:szCs w:val="24"/>
          <w:lang w:val="uk-UA"/>
        </w:rPr>
        <w:t xml:space="preserve">       2.</w:t>
      </w:r>
      <w:r>
        <w:rPr>
          <w:sz w:val="24"/>
          <w:szCs w:val="24"/>
          <w:lang w:val="uk-UA"/>
        </w:rPr>
        <w:t xml:space="preserve"> Місце поставки Товару: </w:t>
      </w:r>
      <w:proofErr w:type="spellStart"/>
      <w:r w:rsidR="0091507F">
        <w:rPr>
          <w:sz w:val="24"/>
          <w:szCs w:val="24"/>
          <w:lang w:val="uk-UA"/>
        </w:rPr>
        <w:t>Болехівський</w:t>
      </w:r>
      <w:proofErr w:type="spellEnd"/>
      <w:r w:rsidR="0091507F">
        <w:rPr>
          <w:sz w:val="24"/>
          <w:szCs w:val="24"/>
          <w:lang w:val="uk-UA"/>
        </w:rPr>
        <w:t xml:space="preserve"> ліцей №2 «Науковий» </w:t>
      </w:r>
      <w:proofErr w:type="spellStart"/>
      <w:r w:rsidR="0091507F">
        <w:rPr>
          <w:sz w:val="24"/>
          <w:szCs w:val="24"/>
          <w:lang w:val="uk-UA"/>
        </w:rPr>
        <w:t>Болехівської</w:t>
      </w:r>
      <w:proofErr w:type="spellEnd"/>
      <w:r w:rsidR="0091507F">
        <w:rPr>
          <w:sz w:val="24"/>
          <w:szCs w:val="24"/>
          <w:lang w:val="uk-UA"/>
        </w:rPr>
        <w:t xml:space="preserve"> міської ради</w:t>
      </w:r>
    </w:p>
    <w:p w:rsidR="00CB269C" w:rsidRDefault="00CB269C" w:rsidP="00CB269C">
      <w:pPr>
        <w:jc w:val="both"/>
        <w:rPr>
          <w:sz w:val="24"/>
          <w:szCs w:val="24"/>
          <w:highlight w:val="yellow"/>
          <w:lang w:val="uk-UA"/>
        </w:rPr>
      </w:pPr>
    </w:p>
    <w:p w:rsidR="00CB269C" w:rsidRDefault="00CB269C" w:rsidP="00CB269C">
      <w:pPr>
        <w:ind w:firstLine="425"/>
        <w:jc w:val="both"/>
        <w:textAlignment w:val="baseline"/>
        <w:rPr>
          <w:sz w:val="24"/>
          <w:szCs w:val="24"/>
        </w:rPr>
      </w:pPr>
      <w:r>
        <w:rPr>
          <w:sz w:val="24"/>
          <w:szCs w:val="24"/>
          <w:lang w:val="uk-UA"/>
        </w:rPr>
        <w:t>Уч</w:t>
      </w:r>
      <w:proofErr w:type="spellStart"/>
      <w:r>
        <w:rPr>
          <w:sz w:val="24"/>
          <w:szCs w:val="24"/>
        </w:rPr>
        <w:t>асник</w:t>
      </w:r>
      <w:proofErr w:type="spellEnd"/>
      <w:r>
        <w:rPr>
          <w:sz w:val="24"/>
          <w:szCs w:val="24"/>
        </w:rPr>
        <w:t xml:space="preserve"> повинен </w:t>
      </w:r>
      <w:proofErr w:type="spellStart"/>
      <w:r>
        <w:rPr>
          <w:sz w:val="24"/>
          <w:szCs w:val="24"/>
        </w:rPr>
        <w:t>використовувати</w:t>
      </w:r>
      <w:proofErr w:type="spellEnd"/>
      <w:r>
        <w:rPr>
          <w:sz w:val="24"/>
          <w:szCs w:val="24"/>
        </w:rPr>
        <w:t xml:space="preserve"> систему </w:t>
      </w:r>
      <w:proofErr w:type="spellStart"/>
      <w:r>
        <w:rPr>
          <w:sz w:val="24"/>
          <w:szCs w:val="24"/>
        </w:rPr>
        <w:t>управління</w:t>
      </w:r>
      <w:proofErr w:type="spellEnd"/>
      <w:r>
        <w:rPr>
          <w:sz w:val="24"/>
          <w:szCs w:val="24"/>
        </w:rPr>
        <w:t xml:space="preserve"> </w:t>
      </w:r>
      <w:proofErr w:type="spellStart"/>
      <w:r>
        <w:rPr>
          <w:sz w:val="24"/>
          <w:szCs w:val="24"/>
        </w:rPr>
        <w:t>якістю</w:t>
      </w:r>
      <w:proofErr w:type="spellEnd"/>
      <w:r>
        <w:rPr>
          <w:sz w:val="24"/>
          <w:szCs w:val="24"/>
        </w:rPr>
        <w:t xml:space="preserve"> </w:t>
      </w:r>
      <w:proofErr w:type="spellStart"/>
      <w:r>
        <w:rPr>
          <w:sz w:val="24"/>
          <w:szCs w:val="24"/>
        </w:rPr>
        <w:t>стосовно</w:t>
      </w:r>
      <w:proofErr w:type="spellEnd"/>
      <w:r>
        <w:rPr>
          <w:sz w:val="24"/>
          <w:szCs w:val="24"/>
        </w:rPr>
        <w:t xml:space="preserve"> </w:t>
      </w:r>
      <w:proofErr w:type="spellStart"/>
      <w:r>
        <w:rPr>
          <w:sz w:val="24"/>
          <w:szCs w:val="24"/>
        </w:rPr>
        <w:t>послуг</w:t>
      </w:r>
      <w:proofErr w:type="spellEnd"/>
      <w:r>
        <w:rPr>
          <w:sz w:val="24"/>
          <w:szCs w:val="24"/>
        </w:rPr>
        <w:t xml:space="preserve"> </w:t>
      </w:r>
      <w:proofErr w:type="spellStart"/>
      <w:r>
        <w:rPr>
          <w:sz w:val="24"/>
          <w:szCs w:val="24"/>
        </w:rPr>
        <w:t>торгівлі</w:t>
      </w:r>
      <w:proofErr w:type="spellEnd"/>
      <w:r>
        <w:rPr>
          <w:sz w:val="24"/>
          <w:szCs w:val="24"/>
        </w:rPr>
        <w:t xml:space="preserve"> </w:t>
      </w:r>
      <w:proofErr w:type="spellStart"/>
      <w:r>
        <w:rPr>
          <w:sz w:val="24"/>
          <w:szCs w:val="24"/>
        </w:rPr>
        <w:t>газоподібним</w:t>
      </w:r>
      <w:proofErr w:type="spellEnd"/>
      <w:r>
        <w:rPr>
          <w:sz w:val="24"/>
          <w:szCs w:val="24"/>
        </w:rPr>
        <w:t xml:space="preserve"> </w:t>
      </w:r>
      <w:proofErr w:type="spellStart"/>
      <w:r>
        <w:rPr>
          <w:sz w:val="24"/>
          <w:szCs w:val="24"/>
        </w:rPr>
        <w:t>паливом</w:t>
      </w:r>
      <w:proofErr w:type="spellEnd"/>
      <w:r>
        <w:rPr>
          <w:sz w:val="24"/>
          <w:szCs w:val="24"/>
        </w:rPr>
        <w:t xml:space="preserve">. </w:t>
      </w:r>
    </w:p>
    <w:p w:rsidR="00CB269C" w:rsidRDefault="00CB269C" w:rsidP="00CB269C">
      <w:pPr>
        <w:pStyle w:val="a3"/>
        <w:tabs>
          <w:tab w:val="left" w:pos="708"/>
        </w:tabs>
        <w:ind w:firstLine="425"/>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CB269C" w:rsidRDefault="00CB269C" w:rsidP="00CB269C">
      <w:pPr>
        <w:pStyle w:val="a3"/>
        <w:tabs>
          <w:tab w:val="left" w:pos="708"/>
        </w:tabs>
        <w:ind w:firstLine="425"/>
        <w:jc w:val="both"/>
        <w:rPr>
          <w:sz w:val="24"/>
          <w:szCs w:val="24"/>
        </w:rPr>
      </w:pPr>
      <w:r>
        <w:rPr>
          <w:sz w:val="24"/>
          <w:szCs w:val="24"/>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CB269C" w:rsidRDefault="00CB269C" w:rsidP="00CB269C">
      <w:pPr>
        <w:pStyle w:val="a3"/>
        <w:tabs>
          <w:tab w:val="left" w:pos="708"/>
        </w:tabs>
        <w:ind w:firstLine="425"/>
        <w:jc w:val="both"/>
        <w:rPr>
          <w:sz w:val="24"/>
          <w:szCs w:val="24"/>
        </w:rPr>
      </w:pPr>
      <w:r>
        <w:rPr>
          <w:sz w:val="24"/>
          <w:szCs w:val="24"/>
        </w:rPr>
        <w:t>Законом України «Про ринок природного газу» від 09.04.2015 № 329-VIII;</w:t>
      </w:r>
    </w:p>
    <w:p w:rsidR="00CB269C" w:rsidRDefault="00CB269C" w:rsidP="00CB269C">
      <w:pPr>
        <w:pStyle w:val="a3"/>
        <w:tabs>
          <w:tab w:val="left" w:pos="708"/>
        </w:tabs>
        <w:ind w:firstLine="425"/>
        <w:jc w:val="both"/>
        <w:rPr>
          <w:sz w:val="24"/>
          <w:szCs w:val="24"/>
        </w:rPr>
      </w:pPr>
      <w:r>
        <w:rPr>
          <w:sz w:val="24"/>
          <w:szCs w:val="24"/>
        </w:rPr>
        <w:t>«Правилами постачання природного газу», затвердженими Постановою НКРЕ КП № 2496 від 30.09.2015 року;</w:t>
      </w:r>
    </w:p>
    <w:p w:rsidR="00CB269C" w:rsidRDefault="00CB269C" w:rsidP="00CB269C">
      <w:pPr>
        <w:pStyle w:val="a3"/>
        <w:tabs>
          <w:tab w:val="left" w:pos="708"/>
        </w:tabs>
        <w:ind w:firstLine="425"/>
        <w:jc w:val="both"/>
        <w:rPr>
          <w:sz w:val="24"/>
          <w:szCs w:val="24"/>
        </w:rPr>
      </w:pPr>
      <w:r>
        <w:rPr>
          <w:sz w:val="24"/>
          <w:szCs w:val="24"/>
        </w:rPr>
        <w:t>«Кодексом газорозподільних систем», затвердженим Постановою НКРЕ КП № 2494 від 30.09.2015 року;</w:t>
      </w:r>
    </w:p>
    <w:p w:rsidR="00CB269C" w:rsidRDefault="00CB269C" w:rsidP="00CB269C">
      <w:pPr>
        <w:pStyle w:val="a3"/>
        <w:tabs>
          <w:tab w:val="left" w:pos="708"/>
        </w:tabs>
        <w:ind w:firstLine="425"/>
        <w:jc w:val="both"/>
        <w:rPr>
          <w:sz w:val="24"/>
          <w:szCs w:val="24"/>
        </w:rPr>
      </w:pPr>
      <w:r>
        <w:rPr>
          <w:sz w:val="24"/>
          <w:szCs w:val="24"/>
        </w:rPr>
        <w:t>«Кодексом газотранспортної системи», затвердженим Постановою НКРЕ КП № 2493 від 30.09.2015 року;</w:t>
      </w:r>
    </w:p>
    <w:p w:rsidR="00CB269C" w:rsidRDefault="00CB269C" w:rsidP="00CB269C">
      <w:pPr>
        <w:pStyle w:val="a3"/>
        <w:tabs>
          <w:tab w:val="left" w:pos="708"/>
        </w:tabs>
        <w:ind w:firstLine="425"/>
        <w:jc w:val="both"/>
        <w:rPr>
          <w:sz w:val="24"/>
          <w:szCs w:val="24"/>
        </w:rPr>
      </w:pPr>
      <w:r>
        <w:rPr>
          <w:sz w:val="24"/>
          <w:szCs w:val="24"/>
        </w:rPr>
        <w:t>іншими нормативно-правовими документами, прийнятими на виконання Закону України «Про ринок природного газу».</w:t>
      </w:r>
    </w:p>
    <w:p w:rsidR="00CB269C" w:rsidRDefault="00CB269C" w:rsidP="00CB269C">
      <w:pPr>
        <w:pStyle w:val="a3"/>
        <w:tabs>
          <w:tab w:val="left" w:pos="708"/>
        </w:tabs>
        <w:ind w:firstLine="425"/>
        <w:jc w:val="both"/>
        <w:rPr>
          <w:sz w:val="24"/>
          <w:szCs w:val="24"/>
        </w:rPr>
      </w:pPr>
    </w:p>
    <w:p w:rsidR="00CB269C" w:rsidRDefault="00CB269C" w:rsidP="00CB269C">
      <w:pPr>
        <w:pStyle w:val="a3"/>
        <w:tabs>
          <w:tab w:val="left" w:pos="708"/>
        </w:tabs>
        <w:ind w:firstLine="425"/>
        <w:jc w:val="both"/>
        <w:rPr>
          <w:sz w:val="24"/>
          <w:szCs w:val="24"/>
        </w:rPr>
      </w:pPr>
      <w:r>
        <w:rPr>
          <w:sz w:val="24"/>
          <w:szCs w:val="24"/>
        </w:rPr>
        <w:t>За одиницю виміру кількості природного газу при його обліку приймається 1 000 (одна тисяча) кубічних метрів (куб. м), які приведені до стандартних умов: температура газу (t) = 20 градусів Цельсія, тиск газу (P) = 760 мм ртутного стовпчика (101,325 кПа).</w:t>
      </w:r>
    </w:p>
    <w:p w:rsidR="00CB269C" w:rsidRDefault="00CB269C" w:rsidP="00CB269C">
      <w:pPr>
        <w:jc w:val="both"/>
      </w:pPr>
      <w:r>
        <w:rPr>
          <w:b/>
          <w:sz w:val="24"/>
          <w:szCs w:val="24"/>
        </w:rPr>
        <w:t>Строк поставки Товару</w:t>
      </w:r>
      <w:r>
        <w:rPr>
          <w:sz w:val="24"/>
          <w:szCs w:val="24"/>
        </w:rPr>
        <w:t xml:space="preserve">: </w:t>
      </w:r>
      <w:proofErr w:type="spellStart"/>
      <w:r>
        <w:rPr>
          <w:sz w:val="24"/>
          <w:szCs w:val="24"/>
        </w:rPr>
        <w:t>цілодобово</w:t>
      </w:r>
      <w:proofErr w:type="spellEnd"/>
      <w:r>
        <w:rPr>
          <w:sz w:val="24"/>
          <w:szCs w:val="24"/>
        </w:rPr>
        <w:t xml:space="preserve">, з 01 </w:t>
      </w:r>
      <w:proofErr w:type="spellStart"/>
      <w:r>
        <w:rPr>
          <w:sz w:val="24"/>
          <w:szCs w:val="24"/>
        </w:rPr>
        <w:t>січня</w:t>
      </w:r>
      <w:proofErr w:type="spellEnd"/>
      <w:r>
        <w:rPr>
          <w:sz w:val="24"/>
          <w:szCs w:val="24"/>
        </w:rPr>
        <w:t xml:space="preserve"> 2023 до 31 </w:t>
      </w:r>
      <w:proofErr w:type="spellStart"/>
      <w:r>
        <w:rPr>
          <w:sz w:val="24"/>
          <w:szCs w:val="24"/>
        </w:rPr>
        <w:t>березня</w:t>
      </w:r>
      <w:proofErr w:type="spellEnd"/>
      <w:r>
        <w:rPr>
          <w:sz w:val="24"/>
          <w:szCs w:val="24"/>
        </w:rPr>
        <w:t xml:space="preserve"> 2023 року </w:t>
      </w:r>
      <w:proofErr w:type="spellStart"/>
      <w:r>
        <w:rPr>
          <w:sz w:val="24"/>
          <w:szCs w:val="24"/>
        </w:rPr>
        <w:t>включно</w:t>
      </w:r>
      <w:proofErr w:type="spellEnd"/>
      <w:r>
        <w:rPr>
          <w:sz w:val="24"/>
          <w:szCs w:val="24"/>
        </w:rPr>
        <w:t xml:space="preserve">, </w:t>
      </w:r>
      <w:proofErr w:type="spellStart"/>
      <w:r>
        <w:rPr>
          <w:sz w:val="24"/>
          <w:szCs w:val="24"/>
        </w:rPr>
        <w:t>відповідно</w:t>
      </w:r>
      <w:proofErr w:type="spellEnd"/>
      <w:r>
        <w:rPr>
          <w:sz w:val="24"/>
          <w:szCs w:val="24"/>
        </w:rPr>
        <w:t xml:space="preserve"> </w:t>
      </w:r>
      <w:r w:rsidR="00306F5A">
        <w:rPr>
          <w:sz w:val="24"/>
          <w:szCs w:val="24"/>
        </w:rPr>
        <w:t xml:space="preserve">до </w:t>
      </w:r>
      <w:proofErr w:type="spellStart"/>
      <w:r w:rsidR="00306F5A">
        <w:rPr>
          <w:sz w:val="24"/>
          <w:szCs w:val="24"/>
        </w:rPr>
        <w:t>прогнозованого</w:t>
      </w:r>
      <w:proofErr w:type="spellEnd"/>
      <w:r w:rsidR="00306F5A">
        <w:rPr>
          <w:sz w:val="24"/>
          <w:szCs w:val="24"/>
        </w:rPr>
        <w:t xml:space="preserve"> </w:t>
      </w:r>
      <w:proofErr w:type="spellStart"/>
      <w:r w:rsidR="00306F5A">
        <w:rPr>
          <w:sz w:val="24"/>
          <w:szCs w:val="24"/>
        </w:rPr>
        <w:t>споживання</w:t>
      </w:r>
      <w:proofErr w:type="spellEnd"/>
      <w:r w:rsidR="00306F5A">
        <w:rPr>
          <w:sz w:val="24"/>
          <w:szCs w:val="24"/>
        </w:rPr>
        <w:t>: 22</w:t>
      </w:r>
      <w:r>
        <w:rPr>
          <w:sz w:val="24"/>
          <w:szCs w:val="24"/>
          <w:lang w:val="uk-UA"/>
        </w:rPr>
        <w:t>,0 тис.</w:t>
      </w:r>
      <w:r>
        <w:rPr>
          <w:sz w:val="24"/>
          <w:szCs w:val="24"/>
        </w:rPr>
        <w:t xml:space="preserve"> м. куб.</w:t>
      </w:r>
    </w:p>
    <w:p w:rsidR="00F86511" w:rsidRDefault="00CB269C" w:rsidP="00CB269C">
      <w:pPr>
        <w:jc w:val="both"/>
        <w:rPr>
          <w:sz w:val="24"/>
          <w:szCs w:val="24"/>
          <w:lang w:val="uk-UA"/>
        </w:rPr>
      </w:pPr>
      <w:r>
        <w:rPr>
          <w:sz w:val="24"/>
          <w:szCs w:val="24"/>
          <w:lang w:val="uk-UA"/>
        </w:rPr>
        <w:t>10</w:t>
      </w:r>
      <w:r>
        <w:rPr>
          <w:b/>
          <w:sz w:val="24"/>
          <w:szCs w:val="24"/>
          <w:lang w:val="uk-UA"/>
        </w:rPr>
        <w:t>.</w:t>
      </w:r>
      <w:r>
        <w:rPr>
          <w:sz w:val="24"/>
          <w:szCs w:val="24"/>
          <w:lang w:val="uk-UA"/>
        </w:rPr>
        <w:t xml:space="preserve"> Кількість: </w:t>
      </w:r>
      <w:r>
        <w:rPr>
          <w:bCs/>
          <w:sz w:val="24"/>
          <w:szCs w:val="24"/>
          <w:lang w:val="uk-UA" w:eastAsia="uk-UA"/>
        </w:rPr>
        <w:t xml:space="preserve">1 </w:t>
      </w:r>
      <w:r>
        <w:rPr>
          <w:sz w:val="24"/>
          <w:szCs w:val="24"/>
          <w:lang w:val="uk-UA"/>
        </w:rPr>
        <w:t>найменування</w:t>
      </w:r>
    </w:p>
    <w:p w:rsidR="00CB269C" w:rsidRDefault="00CB269C" w:rsidP="00CB269C">
      <w:pPr>
        <w:jc w:val="both"/>
        <w:rPr>
          <w:sz w:val="24"/>
          <w:szCs w:val="24"/>
          <w:lang w:val="uk-UA"/>
        </w:rPr>
      </w:pPr>
      <w:r>
        <w:rPr>
          <w:sz w:val="24"/>
          <w:szCs w:val="24"/>
          <w:lang w:val="uk-UA"/>
        </w:rPr>
        <w:t>Таблиця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71"/>
        <w:gridCol w:w="1831"/>
        <w:gridCol w:w="1453"/>
        <w:gridCol w:w="3017"/>
      </w:tblGrid>
      <w:tr w:rsidR="00CB269C" w:rsidTr="00CB269C">
        <w:tc>
          <w:tcPr>
            <w:tcW w:w="2622" w:type="dxa"/>
            <w:tcBorders>
              <w:top w:val="single" w:sz="4" w:space="0" w:color="auto"/>
              <w:left w:val="single" w:sz="4" w:space="0" w:color="auto"/>
              <w:bottom w:val="single" w:sz="4" w:space="0" w:color="auto"/>
              <w:right w:val="single" w:sz="4" w:space="0" w:color="auto"/>
            </w:tcBorders>
            <w:vAlign w:val="center"/>
            <w:hideMark/>
          </w:tcPr>
          <w:p w:rsidR="00CB269C" w:rsidRDefault="00CB269C">
            <w:pPr>
              <w:spacing w:line="256" w:lineRule="auto"/>
              <w:jc w:val="center"/>
              <w:rPr>
                <w:sz w:val="24"/>
                <w:szCs w:val="24"/>
                <w:lang w:val="uk-UA"/>
              </w:rPr>
            </w:pPr>
            <w:r>
              <w:rPr>
                <w:sz w:val="24"/>
                <w:szCs w:val="24"/>
                <w:lang w:val="uk-UA"/>
              </w:rPr>
              <w:t>Найменування предмету закупівлі</w:t>
            </w:r>
          </w:p>
        </w:tc>
        <w:tc>
          <w:tcPr>
            <w:tcW w:w="1489" w:type="dxa"/>
            <w:tcBorders>
              <w:top w:val="single" w:sz="4" w:space="0" w:color="auto"/>
              <w:left w:val="single" w:sz="4" w:space="0" w:color="auto"/>
              <w:bottom w:val="single" w:sz="4" w:space="0" w:color="auto"/>
              <w:right w:val="single" w:sz="4" w:space="0" w:color="auto"/>
            </w:tcBorders>
            <w:vAlign w:val="center"/>
            <w:hideMark/>
          </w:tcPr>
          <w:p w:rsidR="00CB269C" w:rsidRDefault="00CB269C">
            <w:pPr>
              <w:spacing w:line="256" w:lineRule="auto"/>
              <w:jc w:val="center"/>
              <w:rPr>
                <w:sz w:val="24"/>
                <w:szCs w:val="24"/>
                <w:lang w:val="uk-UA"/>
              </w:rPr>
            </w:pPr>
            <w:r>
              <w:rPr>
                <w:sz w:val="24"/>
                <w:szCs w:val="24"/>
                <w:lang w:val="uk-UA"/>
              </w:rPr>
              <w:t>Одиниця виміру</w:t>
            </w:r>
          </w:p>
        </w:tc>
        <w:tc>
          <w:tcPr>
            <w:tcW w:w="1632" w:type="dxa"/>
            <w:tcBorders>
              <w:top w:val="single" w:sz="4" w:space="0" w:color="auto"/>
              <w:left w:val="single" w:sz="4" w:space="0" w:color="auto"/>
              <w:bottom w:val="single" w:sz="4" w:space="0" w:color="auto"/>
              <w:right w:val="single" w:sz="4" w:space="0" w:color="auto"/>
            </w:tcBorders>
            <w:vAlign w:val="center"/>
            <w:hideMark/>
          </w:tcPr>
          <w:p w:rsidR="00CB269C" w:rsidRDefault="00CB269C">
            <w:pPr>
              <w:spacing w:line="256" w:lineRule="auto"/>
              <w:jc w:val="center"/>
              <w:rPr>
                <w:sz w:val="24"/>
                <w:szCs w:val="24"/>
                <w:lang w:val="uk-UA"/>
              </w:rPr>
            </w:pPr>
            <w:r>
              <w:rPr>
                <w:sz w:val="24"/>
                <w:szCs w:val="24"/>
                <w:lang w:val="uk-UA"/>
              </w:rPr>
              <w:t>Відповідність стандарту</w:t>
            </w:r>
          </w:p>
        </w:tc>
        <w:tc>
          <w:tcPr>
            <w:tcW w:w="1453" w:type="dxa"/>
            <w:tcBorders>
              <w:top w:val="single" w:sz="4" w:space="0" w:color="auto"/>
              <w:left w:val="single" w:sz="4" w:space="0" w:color="auto"/>
              <w:bottom w:val="single" w:sz="4" w:space="0" w:color="auto"/>
              <w:right w:val="single" w:sz="4" w:space="0" w:color="auto"/>
            </w:tcBorders>
            <w:vAlign w:val="center"/>
            <w:hideMark/>
          </w:tcPr>
          <w:p w:rsidR="00CB269C" w:rsidRDefault="00CB269C">
            <w:pPr>
              <w:spacing w:line="256" w:lineRule="auto"/>
              <w:jc w:val="center"/>
              <w:rPr>
                <w:sz w:val="24"/>
                <w:szCs w:val="24"/>
                <w:lang w:val="uk-UA"/>
              </w:rPr>
            </w:pPr>
            <w:r>
              <w:rPr>
                <w:sz w:val="24"/>
                <w:szCs w:val="24"/>
                <w:lang w:val="uk-UA"/>
              </w:rPr>
              <w:t>Очікувані обсяги споживання у 2023 році</w:t>
            </w:r>
          </w:p>
        </w:tc>
        <w:tc>
          <w:tcPr>
            <w:tcW w:w="3118" w:type="dxa"/>
            <w:tcBorders>
              <w:top w:val="single" w:sz="4" w:space="0" w:color="auto"/>
              <w:left w:val="single" w:sz="4" w:space="0" w:color="auto"/>
              <w:bottom w:val="single" w:sz="4" w:space="0" w:color="auto"/>
              <w:right w:val="single" w:sz="4" w:space="0" w:color="auto"/>
            </w:tcBorders>
            <w:hideMark/>
          </w:tcPr>
          <w:p w:rsidR="00CB269C" w:rsidRDefault="00CB269C">
            <w:pPr>
              <w:keepNext/>
              <w:spacing w:line="256" w:lineRule="auto"/>
              <w:jc w:val="center"/>
              <w:rPr>
                <w:b/>
                <w:sz w:val="24"/>
                <w:szCs w:val="24"/>
              </w:rPr>
            </w:pPr>
            <w:proofErr w:type="spellStart"/>
            <w:r>
              <w:rPr>
                <w:b/>
                <w:sz w:val="24"/>
                <w:szCs w:val="24"/>
              </w:rPr>
              <w:t>Технічні</w:t>
            </w:r>
            <w:proofErr w:type="spellEnd"/>
            <w:r>
              <w:rPr>
                <w:b/>
                <w:sz w:val="24"/>
                <w:szCs w:val="24"/>
              </w:rPr>
              <w:t xml:space="preserve"> / </w:t>
            </w:r>
            <w:proofErr w:type="spellStart"/>
            <w:r>
              <w:rPr>
                <w:b/>
                <w:sz w:val="24"/>
                <w:szCs w:val="24"/>
              </w:rPr>
              <w:t>інші</w:t>
            </w:r>
            <w:proofErr w:type="spellEnd"/>
            <w:r>
              <w:rPr>
                <w:b/>
                <w:sz w:val="24"/>
                <w:szCs w:val="24"/>
              </w:rPr>
              <w:t xml:space="preserve"> характеристики</w:t>
            </w:r>
          </w:p>
          <w:p w:rsidR="00CB269C" w:rsidRDefault="00CB269C">
            <w:pPr>
              <w:spacing w:line="256" w:lineRule="auto"/>
              <w:jc w:val="center"/>
              <w:rPr>
                <w:sz w:val="24"/>
                <w:szCs w:val="24"/>
                <w:lang w:val="uk-UA"/>
              </w:rPr>
            </w:pPr>
            <w:r>
              <w:rPr>
                <w:b/>
                <w:sz w:val="24"/>
                <w:szCs w:val="24"/>
              </w:rPr>
              <w:t>(</w:t>
            </w:r>
            <w:proofErr w:type="spellStart"/>
            <w:r>
              <w:rPr>
                <w:b/>
                <w:sz w:val="24"/>
                <w:szCs w:val="24"/>
              </w:rPr>
              <w:t>технічна</w:t>
            </w:r>
            <w:proofErr w:type="spellEnd"/>
            <w:r>
              <w:rPr>
                <w:b/>
                <w:sz w:val="24"/>
                <w:szCs w:val="24"/>
              </w:rPr>
              <w:t xml:space="preserve"> </w:t>
            </w:r>
            <w:proofErr w:type="spellStart"/>
            <w:r>
              <w:rPr>
                <w:b/>
                <w:sz w:val="24"/>
                <w:szCs w:val="24"/>
              </w:rPr>
              <w:t>специфікація</w:t>
            </w:r>
            <w:proofErr w:type="spellEnd"/>
            <w:r>
              <w:rPr>
                <w:b/>
                <w:sz w:val="24"/>
                <w:szCs w:val="24"/>
              </w:rPr>
              <w:t>)</w:t>
            </w:r>
          </w:p>
        </w:tc>
      </w:tr>
      <w:tr w:rsidR="00CB269C" w:rsidTr="00CB269C">
        <w:trPr>
          <w:trHeight w:val="736"/>
        </w:trPr>
        <w:tc>
          <w:tcPr>
            <w:tcW w:w="2622" w:type="dxa"/>
            <w:tcBorders>
              <w:top w:val="single" w:sz="4" w:space="0" w:color="auto"/>
              <w:left w:val="single" w:sz="4" w:space="0" w:color="auto"/>
              <w:bottom w:val="single" w:sz="4" w:space="0" w:color="auto"/>
              <w:right w:val="single" w:sz="4" w:space="0" w:color="auto"/>
            </w:tcBorders>
            <w:vAlign w:val="center"/>
          </w:tcPr>
          <w:p w:rsidR="00CB269C" w:rsidRDefault="00CB269C">
            <w:pPr>
              <w:spacing w:line="256" w:lineRule="auto"/>
              <w:rPr>
                <w:kern w:val="2"/>
                <w:sz w:val="24"/>
                <w:szCs w:val="24"/>
                <w:lang w:val="uk-UA"/>
              </w:rPr>
            </w:pPr>
            <w:r>
              <w:rPr>
                <w:kern w:val="2"/>
                <w:sz w:val="24"/>
                <w:szCs w:val="24"/>
                <w:lang w:val="uk-UA"/>
              </w:rPr>
              <w:t>Природний газ</w:t>
            </w:r>
          </w:p>
          <w:p w:rsidR="00CB269C" w:rsidRDefault="00CB269C">
            <w:pPr>
              <w:spacing w:line="256" w:lineRule="auto"/>
              <w:rPr>
                <w:sz w:val="24"/>
                <w:szCs w:val="24"/>
                <w:lang w:val="uk-UA"/>
              </w:rPr>
            </w:pPr>
          </w:p>
          <w:p w:rsidR="00CB269C" w:rsidRDefault="00CB269C">
            <w:pPr>
              <w:spacing w:line="256" w:lineRule="auto"/>
              <w:rPr>
                <w:kern w:val="2"/>
                <w:sz w:val="24"/>
                <w:szCs w:val="24"/>
                <w:lang w:val="uk-UA"/>
              </w:rPr>
            </w:pPr>
            <w:r>
              <w:rPr>
                <w:sz w:val="28"/>
                <w:szCs w:val="24"/>
                <w:lang w:val="uk-UA"/>
              </w:rPr>
              <w:lastRenderedPageBreak/>
              <w:t>(</w:t>
            </w:r>
            <w:r>
              <w:rPr>
                <w:sz w:val="24"/>
                <w:szCs w:val="24"/>
                <w:lang w:val="uk-UA"/>
              </w:rPr>
              <w:t xml:space="preserve">ДК 021:2015 – 09120000 – 6 </w:t>
            </w:r>
            <w:r>
              <w:rPr>
                <w:kern w:val="2"/>
                <w:sz w:val="24"/>
                <w:szCs w:val="24"/>
                <w:lang w:val="uk-UA"/>
              </w:rPr>
              <w:t>Газове паливо)</w:t>
            </w:r>
          </w:p>
        </w:tc>
        <w:tc>
          <w:tcPr>
            <w:tcW w:w="1489" w:type="dxa"/>
            <w:tcBorders>
              <w:top w:val="single" w:sz="4" w:space="0" w:color="auto"/>
              <w:left w:val="single" w:sz="4" w:space="0" w:color="auto"/>
              <w:bottom w:val="single" w:sz="4" w:space="0" w:color="auto"/>
              <w:right w:val="single" w:sz="4" w:space="0" w:color="auto"/>
            </w:tcBorders>
            <w:vAlign w:val="center"/>
            <w:hideMark/>
          </w:tcPr>
          <w:p w:rsidR="00CB269C" w:rsidRDefault="00CB269C">
            <w:pPr>
              <w:spacing w:line="256" w:lineRule="auto"/>
              <w:jc w:val="center"/>
              <w:rPr>
                <w:sz w:val="24"/>
                <w:szCs w:val="24"/>
                <w:lang w:val="uk-UA"/>
              </w:rPr>
            </w:pPr>
            <w:proofErr w:type="spellStart"/>
            <w:r>
              <w:rPr>
                <w:sz w:val="24"/>
                <w:szCs w:val="24"/>
                <w:lang w:val="uk-UA"/>
              </w:rPr>
              <w:lastRenderedPageBreak/>
              <w:t>Тис.куб.м</w:t>
            </w:r>
            <w:proofErr w:type="spellEnd"/>
            <w:r>
              <w:rPr>
                <w:sz w:val="24"/>
                <w:szCs w:val="24"/>
                <w:lang w:val="uk-UA"/>
              </w:rPr>
              <w:t>.</w:t>
            </w:r>
          </w:p>
        </w:tc>
        <w:tc>
          <w:tcPr>
            <w:tcW w:w="1632" w:type="dxa"/>
            <w:tcBorders>
              <w:top w:val="single" w:sz="4" w:space="0" w:color="auto"/>
              <w:left w:val="single" w:sz="4" w:space="0" w:color="auto"/>
              <w:bottom w:val="single" w:sz="4" w:space="0" w:color="auto"/>
              <w:right w:val="single" w:sz="4" w:space="0" w:color="auto"/>
            </w:tcBorders>
            <w:vAlign w:val="center"/>
            <w:hideMark/>
          </w:tcPr>
          <w:p w:rsidR="00CB269C" w:rsidRDefault="00CB269C">
            <w:pPr>
              <w:spacing w:line="256" w:lineRule="auto"/>
              <w:jc w:val="both"/>
              <w:rPr>
                <w:sz w:val="24"/>
                <w:szCs w:val="24"/>
                <w:lang w:val="uk-UA"/>
              </w:rPr>
            </w:pPr>
            <w:proofErr w:type="spellStart"/>
            <w:r>
              <w:rPr>
                <w:sz w:val="24"/>
                <w:szCs w:val="24"/>
              </w:rPr>
              <w:t>Якість</w:t>
            </w:r>
            <w:proofErr w:type="spellEnd"/>
            <w:r>
              <w:rPr>
                <w:sz w:val="24"/>
                <w:szCs w:val="24"/>
              </w:rPr>
              <w:t xml:space="preserve"> та </w:t>
            </w:r>
            <w:proofErr w:type="spellStart"/>
            <w:r>
              <w:rPr>
                <w:sz w:val="24"/>
                <w:szCs w:val="24"/>
              </w:rPr>
              <w:t>інші</w:t>
            </w:r>
            <w:proofErr w:type="spellEnd"/>
            <w:r>
              <w:rPr>
                <w:sz w:val="24"/>
                <w:szCs w:val="24"/>
              </w:rPr>
              <w:t xml:space="preserve"> </w:t>
            </w:r>
            <w:proofErr w:type="spellStart"/>
            <w:r>
              <w:rPr>
                <w:sz w:val="24"/>
                <w:szCs w:val="24"/>
              </w:rPr>
              <w:t>фізико-хімічні</w:t>
            </w:r>
            <w:proofErr w:type="spellEnd"/>
            <w:r>
              <w:rPr>
                <w:sz w:val="24"/>
                <w:szCs w:val="24"/>
              </w:rPr>
              <w:t xml:space="preserve"> </w:t>
            </w:r>
            <w:r>
              <w:rPr>
                <w:sz w:val="24"/>
                <w:szCs w:val="24"/>
              </w:rPr>
              <w:lastRenderedPageBreak/>
              <w:t xml:space="preserve">характеристики природного газу, </w:t>
            </w:r>
            <w:proofErr w:type="spellStart"/>
            <w:r>
              <w:rPr>
                <w:sz w:val="24"/>
                <w:szCs w:val="24"/>
              </w:rPr>
              <w:t>який</w:t>
            </w:r>
            <w:proofErr w:type="spellEnd"/>
            <w:r>
              <w:rPr>
                <w:sz w:val="24"/>
                <w:szCs w:val="24"/>
              </w:rPr>
              <w:t xml:space="preserve"> </w:t>
            </w:r>
            <w:proofErr w:type="spellStart"/>
            <w:r>
              <w:rPr>
                <w:sz w:val="24"/>
                <w:szCs w:val="24"/>
              </w:rPr>
              <w:t>передається</w:t>
            </w:r>
            <w:proofErr w:type="spellEnd"/>
            <w:r>
              <w:rPr>
                <w:sz w:val="24"/>
                <w:szCs w:val="24"/>
              </w:rPr>
              <w:t xml:space="preserve">, </w:t>
            </w:r>
            <w:proofErr w:type="spellStart"/>
            <w:r>
              <w:rPr>
                <w:sz w:val="24"/>
                <w:szCs w:val="24"/>
              </w:rPr>
              <w:t>повинні</w:t>
            </w:r>
            <w:proofErr w:type="spellEnd"/>
            <w:r>
              <w:rPr>
                <w:sz w:val="24"/>
                <w:szCs w:val="24"/>
              </w:rPr>
              <w:t xml:space="preserve"> </w:t>
            </w:r>
            <w:proofErr w:type="spellStart"/>
            <w:r>
              <w:rPr>
                <w:sz w:val="24"/>
                <w:szCs w:val="24"/>
              </w:rPr>
              <w:t>відповідати</w:t>
            </w:r>
            <w:proofErr w:type="spellEnd"/>
            <w:r>
              <w:rPr>
                <w:sz w:val="24"/>
                <w:szCs w:val="24"/>
              </w:rPr>
              <w:t xml:space="preserve"> параметрам чинного </w:t>
            </w:r>
            <w:proofErr w:type="spellStart"/>
            <w:r>
              <w:rPr>
                <w:sz w:val="24"/>
                <w:szCs w:val="24"/>
              </w:rPr>
              <w:t>міждержавного</w:t>
            </w:r>
            <w:proofErr w:type="spellEnd"/>
            <w:r>
              <w:rPr>
                <w:sz w:val="24"/>
                <w:szCs w:val="24"/>
              </w:rPr>
              <w:t xml:space="preserve"> ГОСТу 5542-</w:t>
            </w:r>
            <w:proofErr w:type="gramStart"/>
            <w:r>
              <w:rPr>
                <w:sz w:val="24"/>
                <w:szCs w:val="24"/>
              </w:rPr>
              <w:t>87  «</w:t>
            </w:r>
            <w:proofErr w:type="gramEnd"/>
            <w:r>
              <w:rPr>
                <w:sz w:val="24"/>
                <w:szCs w:val="24"/>
              </w:rPr>
              <w:t xml:space="preserve">Гази </w:t>
            </w:r>
            <w:proofErr w:type="spellStart"/>
            <w:r>
              <w:rPr>
                <w:sz w:val="24"/>
                <w:szCs w:val="24"/>
              </w:rPr>
              <w:t>горючі</w:t>
            </w:r>
            <w:proofErr w:type="spellEnd"/>
            <w:r>
              <w:rPr>
                <w:sz w:val="24"/>
                <w:szCs w:val="24"/>
              </w:rPr>
              <w:t xml:space="preserve"> </w:t>
            </w:r>
            <w:proofErr w:type="spellStart"/>
            <w:r>
              <w:rPr>
                <w:sz w:val="24"/>
                <w:szCs w:val="24"/>
              </w:rPr>
              <w:t>природні</w:t>
            </w:r>
            <w:proofErr w:type="spellEnd"/>
            <w:r>
              <w:rPr>
                <w:sz w:val="24"/>
                <w:szCs w:val="24"/>
              </w:rPr>
              <w:t xml:space="preserve"> для </w:t>
            </w:r>
            <w:proofErr w:type="spellStart"/>
            <w:r>
              <w:rPr>
                <w:sz w:val="24"/>
                <w:szCs w:val="24"/>
              </w:rPr>
              <w:t>промислового</w:t>
            </w:r>
            <w:proofErr w:type="spellEnd"/>
            <w:r>
              <w:rPr>
                <w:sz w:val="24"/>
                <w:szCs w:val="24"/>
              </w:rPr>
              <w:t xml:space="preserve"> і </w:t>
            </w:r>
            <w:proofErr w:type="spellStart"/>
            <w:r>
              <w:rPr>
                <w:sz w:val="24"/>
                <w:szCs w:val="24"/>
              </w:rPr>
              <w:t>комунально-побутового</w:t>
            </w:r>
            <w:proofErr w:type="spellEnd"/>
            <w:r>
              <w:rPr>
                <w:sz w:val="24"/>
                <w:szCs w:val="24"/>
              </w:rPr>
              <w:t xml:space="preserve"> </w:t>
            </w:r>
            <w:proofErr w:type="spellStart"/>
            <w:r>
              <w:rPr>
                <w:sz w:val="24"/>
                <w:szCs w:val="24"/>
              </w:rPr>
              <w:t>призначення</w:t>
            </w:r>
            <w:proofErr w:type="spellEnd"/>
            <w:r>
              <w:rPr>
                <w:sz w:val="24"/>
                <w:szCs w:val="24"/>
              </w:rPr>
              <w:t xml:space="preserve">. </w:t>
            </w:r>
            <w:proofErr w:type="spellStart"/>
            <w:r>
              <w:rPr>
                <w:sz w:val="24"/>
                <w:szCs w:val="24"/>
              </w:rPr>
              <w:t>Технічні</w:t>
            </w:r>
            <w:proofErr w:type="spellEnd"/>
            <w:r>
              <w:rPr>
                <w:sz w:val="24"/>
                <w:szCs w:val="24"/>
              </w:rPr>
              <w:t xml:space="preserve"> </w:t>
            </w:r>
            <w:proofErr w:type="spellStart"/>
            <w:r>
              <w:rPr>
                <w:sz w:val="24"/>
                <w:szCs w:val="24"/>
              </w:rPr>
              <w:t>умови</w:t>
            </w:r>
            <w:proofErr w:type="spellEnd"/>
            <w:r>
              <w:rPr>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CB269C" w:rsidRDefault="00F86511">
            <w:pPr>
              <w:spacing w:line="256" w:lineRule="auto"/>
              <w:jc w:val="center"/>
              <w:rPr>
                <w:sz w:val="24"/>
                <w:szCs w:val="24"/>
                <w:lang w:val="uk-UA"/>
              </w:rPr>
            </w:pPr>
            <w:r>
              <w:rPr>
                <w:sz w:val="24"/>
                <w:szCs w:val="24"/>
                <w:lang w:val="en-US"/>
              </w:rPr>
              <w:lastRenderedPageBreak/>
              <w:t>22</w:t>
            </w:r>
            <w:r>
              <w:rPr>
                <w:sz w:val="24"/>
                <w:szCs w:val="24"/>
                <w:lang w:val="uk-UA"/>
              </w:rPr>
              <w:t>,0</w:t>
            </w:r>
          </w:p>
        </w:tc>
        <w:tc>
          <w:tcPr>
            <w:tcW w:w="3118" w:type="dxa"/>
            <w:tcBorders>
              <w:top w:val="single" w:sz="4" w:space="0" w:color="auto"/>
              <w:left w:val="single" w:sz="4" w:space="0" w:color="auto"/>
              <w:bottom w:val="single" w:sz="4" w:space="0" w:color="auto"/>
              <w:right w:val="single" w:sz="4" w:space="0" w:color="auto"/>
            </w:tcBorders>
            <w:hideMark/>
          </w:tcPr>
          <w:p w:rsidR="00CB269C" w:rsidRDefault="00CB269C">
            <w:pPr>
              <w:keepNext/>
              <w:spacing w:line="256" w:lineRule="auto"/>
              <w:jc w:val="both"/>
              <w:rPr>
                <w:sz w:val="24"/>
                <w:szCs w:val="24"/>
              </w:rPr>
            </w:pPr>
            <w:r>
              <w:rPr>
                <w:sz w:val="24"/>
                <w:szCs w:val="24"/>
              </w:rPr>
              <w:t xml:space="preserve">Газ горючий </w:t>
            </w:r>
            <w:proofErr w:type="spellStart"/>
            <w:r>
              <w:rPr>
                <w:sz w:val="24"/>
                <w:szCs w:val="24"/>
              </w:rPr>
              <w:t>природний</w:t>
            </w:r>
            <w:proofErr w:type="spellEnd"/>
            <w:r>
              <w:rPr>
                <w:sz w:val="24"/>
                <w:szCs w:val="24"/>
              </w:rPr>
              <w:t xml:space="preserve"> для </w:t>
            </w:r>
            <w:proofErr w:type="spellStart"/>
            <w:r>
              <w:rPr>
                <w:sz w:val="24"/>
                <w:szCs w:val="24"/>
              </w:rPr>
              <w:t>промислового</w:t>
            </w:r>
            <w:proofErr w:type="spellEnd"/>
            <w:r>
              <w:rPr>
                <w:sz w:val="24"/>
                <w:szCs w:val="24"/>
              </w:rPr>
              <w:t xml:space="preserve"> та </w:t>
            </w:r>
            <w:proofErr w:type="spellStart"/>
            <w:r>
              <w:rPr>
                <w:sz w:val="24"/>
                <w:szCs w:val="24"/>
              </w:rPr>
              <w:lastRenderedPageBreak/>
              <w:t>комунального</w:t>
            </w:r>
            <w:proofErr w:type="spellEnd"/>
            <w:r>
              <w:rPr>
                <w:sz w:val="24"/>
                <w:szCs w:val="24"/>
              </w:rPr>
              <w:t xml:space="preserve"> </w:t>
            </w:r>
            <w:proofErr w:type="spellStart"/>
            <w:r>
              <w:rPr>
                <w:sz w:val="24"/>
                <w:szCs w:val="24"/>
              </w:rPr>
              <w:t>призначення</w:t>
            </w:r>
            <w:proofErr w:type="spellEnd"/>
            <w:r>
              <w:rPr>
                <w:sz w:val="24"/>
                <w:szCs w:val="24"/>
              </w:rPr>
              <w:t>.</w:t>
            </w:r>
          </w:p>
          <w:p w:rsidR="00CB269C" w:rsidRDefault="00CB269C">
            <w:pPr>
              <w:spacing w:line="256" w:lineRule="auto"/>
              <w:jc w:val="both"/>
              <w:rPr>
                <w:sz w:val="24"/>
                <w:szCs w:val="24"/>
                <w:lang w:val="uk-UA"/>
              </w:rPr>
            </w:pPr>
            <w:proofErr w:type="spellStart"/>
            <w:r>
              <w:rPr>
                <w:b/>
                <w:sz w:val="24"/>
                <w:szCs w:val="24"/>
              </w:rPr>
              <w:t>Природний</w:t>
            </w:r>
            <w:proofErr w:type="spellEnd"/>
            <w:r>
              <w:rPr>
                <w:b/>
                <w:sz w:val="24"/>
                <w:szCs w:val="24"/>
              </w:rPr>
              <w:t xml:space="preserve"> газ</w:t>
            </w:r>
            <w:r>
              <w:rPr>
                <w:sz w:val="24"/>
                <w:szCs w:val="24"/>
              </w:rPr>
              <w:t xml:space="preserve">, </w:t>
            </w:r>
            <w:proofErr w:type="spellStart"/>
            <w:r>
              <w:rPr>
                <w:sz w:val="24"/>
                <w:szCs w:val="24"/>
              </w:rPr>
              <w:t>нафтовий</w:t>
            </w:r>
            <w:proofErr w:type="spellEnd"/>
            <w:r>
              <w:rPr>
                <w:sz w:val="24"/>
                <w:szCs w:val="24"/>
              </w:rPr>
              <w:t xml:space="preserve"> (</w:t>
            </w:r>
            <w:proofErr w:type="spellStart"/>
            <w:r>
              <w:rPr>
                <w:sz w:val="24"/>
                <w:szCs w:val="24"/>
              </w:rPr>
              <w:t>попутний</w:t>
            </w:r>
            <w:proofErr w:type="spellEnd"/>
            <w:r>
              <w:rPr>
                <w:sz w:val="24"/>
                <w:szCs w:val="24"/>
              </w:rPr>
              <w:t xml:space="preserve">) газ, газ (метан) </w:t>
            </w:r>
            <w:proofErr w:type="spellStart"/>
            <w:r>
              <w:rPr>
                <w:sz w:val="24"/>
                <w:szCs w:val="24"/>
              </w:rPr>
              <w:t>вугільних</w:t>
            </w:r>
            <w:proofErr w:type="spellEnd"/>
            <w:r>
              <w:rPr>
                <w:sz w:val="24"/>
                <w:szCs w:val="24"/>
              </w:rPr>
              <w:t xml:space="preserve"> </w:t>
            </w:r>
            <w:proofErr w:type="spellStart"/>
            <w:r>
              <w:rPr>
                <w:sz w:val="24"/>
                <w:szCs w:val="24"/>
              </w:rPr>
              <w:t>родовищ</w:t>
            </w:r>
            <w:proofErr w:type="spellEnd"/>
            <w:r>
              <w:rPr>
                <w:sz w:val="24"/>
                <w:szCs w:val="24"/>
              </w:rPr>
              <w:t xml:space="preserve"> та газ </w:t>
            </w:r>
            <w:proofErr w:type="spellStart"/>
            <w:r>
              <w:rPr>
                <w:sz w:val="24"/>
                <w:szCs w:val="24"/>
              </w:rPr>
              <w:t>сланцевих</w:t>
            </w:r>
            <w:proofErr w:type="spellEnd"/>
            <w:r>
              <w:rPr>
                <w:sz w:val="24"/>
                <w:szCs w:val="24"/>
              </w:rPr>
              <w:t xml:space="preserve"> </w:t>
            </w:r>
            <w:proofErr w:type="spellStart"/>
            <w:r>
              <w:rPr>
                <w:sz w:val="24"/>
                <w:szCs w:val="24"/>
              </w:rPr>
              <w:t>товщ</w:t>
            </w:r>
            <w:proofErr w:type="spellEnd"/>
            <w:r>
              <w:rPr>
                <w:sz w:val="24"/>
                <w:szCs w:val="24"/>
              </w:rPr>
              <w:t xml:space="preserve">, газ </w:t>
            </w:r>
            <w:proofErr w:type="spellStart"/>
            <w:r>
              <w:rPr>
                <w:sz w:val="24"/>
                <w:szCs w:val="24"/>
              </w:rPr>
              <w:t>колекторів</w:t>
            </w:r>
            <w:proofErr w:type="spellEnd"/>
            <w:r>
              <w:rPr>
                <w:sz w:val="24"/>
                <w:szCs w:val="24"/>
              </w:rPr>
              <w:t xml:space="preserve"> </w:t>
            </w:r>
            <w:proofErr w:type="spellStart"/>
            <w:r>
              <w:rPr>
                <w:sz w:val="24"/>
                <w:szCs w:val="24"/>
              </w:rPr>
              <w:t>щільних</w:t>
            </w:r>
            <w:proofErr w:type="spellEnd"/>
            <w:r>
              <w:rPr>
                <w:sz w:val="24"/>
                <w:szCs w:val="24"/>
              </w:rPr>
              <w:t xml:space="preserve"> </w:t>
            </w:r>
            <w:proofErr w:type="spellStart"/>
            <w:r>
              <w:rPr>
                <w:sz w:val="24"/>
                <w:szCs w:val="24"/>
              </w:rPr>
              <w:t>порід</w:t>
            </w:r>
            <w:proofErr w:type="spellEnd"/>
            <w:r>
              <w:rPr>
                <w:sz w:val="24"/>
                <w:szCs w:val="24"/>
              </w:rPr>
              <w:t>, газ центрально-</w:t>
            </w:r>
            <w:proofErr w:type="spellStart"/>
            <w:r>
              <w:rPr>
                <w:sz w:val="24"/>
                <w:szCs w:val="24"/>
              </w:rPr>
              <w:t>басейнового</w:t>
            </w:r>
            <w:proofErr w:type="spellEnd"/>
            <w:r>
              <w:rPr>
                <w:sz w:val="24"/>
                <w:szCs w:val="24"/>
              </w:rPr>
              <w:t xml:space="preserve"> типу (</w:t>
            </w:r>
            <w:proofErr w:type="spellStart"/>
            <w:r>
              <w:rPr>
                <w:sz w:val="24"/>
                <w:szCs w:val="24"/>
              </w:rPr>
              <w:t>далі</w:t>
            </w:r>
            <w:proofErr w:type="spellEnd"/>
            <w:r>
              <w:rPr>
                <w:sz w:val="24"/>
                <w:szCs w:val="24"/>
              </w:rPr>
              <w:t xml:space="preserve">- </w:t>
            </w:r>
            <w:proofErr w:type="spellStart"/>
            <w:r>
              <w:rPr>
                <w:sz w:val="24"/>
                <w:szCs w:val="24"/>
              </w:rPr>
              <w:t>природний</w:t>
            </w:r>
            <w:proofErr w:type="spellEnd"/>
            <w:r>
              <w:rPr>
                <w:sz w:val="24"/>
                <w:szCs w:val="24"/>
              </w:rPr>
              <w:t xml:space="preserve"> газ)  - </w:t>
            </w:r>
            <w:proofErr w:type="spellStart"/>
            <w:r>
              <w:rPr>
                <w:sz w:val="24"/>
                <w:szCs w:val="24"/>
              </w:rPr>
              <w:t>суміш</w:t>
            </w:r>
            <w:proofErr w:type="spellEnd"/>
            <w:r>
              <w:rPr>
                <w:sz w:val="24"/>
                <w:szCs w:val="24"/>
              </w:rPr>
              <w:t xml:space="preserve"> </w:t>
            </w:r>
            <w:proofErr w:type="spellStart"/>
            <w:r>
              <w:rPr>
                <w:sz w:val="24"/>
                <w:szCs w:val="24"/>
              </w:rPr>
              <w:t>вуглеводнів</w:t>
            </w:r>
            <w:proofErr w:type="spellEnd"/>
            <w:r>
              <w:rPr>
                <w:sz w:val="24"/>
                <w:szCs w:val="24"/>
              </w:rPr>
              <w:t xml:space="preserve"> та </w:t>
            </w:r>
            <w:proofErr w:type="spellStart"/>
            <w:r>
              <w:rPr>
                <w:sz w:val="24"/>
                <w:szCs w:val="24"/>
              </w:rPr>
              <w:t>невуглеводневих</w:t>
            </w:r>
            <w:proofErr w:type="spellEnd"/>
            <w:r>
              <w:rPr>
                <w:sz w:val="24"/>
                <w:szCs w:val="24"/>
              </w:rPr>
              <w:t xml:space="preserve">  </w:t>
            </w:r>
            <w:proofErr w:type="spellStart"/>
            <w:r>
              <w:rPr>
                <w:sz w:val="24"/>
                <w:szCs w:val="24"/>
              </w:rPr>
              <w:t>компонентів</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перебуває</w:t>
            </w:r>
            <w:proofErr w:type="spellEnd"/>
            <w:r>
              <w:rPr>
                <w:sz w:val="24"/>
                <w:szCs w:val="24"/>
              </w:rPr>
              <w:t xml:space="preserve"> у </w:t>
            </w:r>
            <w:proofErr w:type="spellStart"/>
            <w:r>
              <w:rPr>
                <w:sz w:val="24"/>
                <w:szCs w:val="24"/>
              </w:rPr>
              <w:t>газоподібному</w:t>
            </w:r>
            <w:proofErr w:type="spellEnd"/>
            <w:r>
              <w:rPr>
                <w:sz w:val="24"/>
                <w:szCs w:val="24"/>
              </w:rPr>
              <w:t xml:space="preserve"> </w:t>
            </w:r>
            <w:proofErr w:type="spellStart"/>
            <w:r>
              <w:rPr>
                <w:sz w:val="24"/>
                <w:szCs w:val="24"/>
              </w:rPr>
              <w:t>стані</w:t>
            </w:r>
            <w:proofErr w:type="spellEnd"/>
            <w:r>
              <w:rPr>
                <w:sz w:val="24"/>
                <w:szCs w:val="24"/>
              </w:rPr>
              <w:t xml:space="preserve"> за </w:t>
            </w:r>
            <w:proofErr w:type="spellStart"/>
            <w:r>
              <w:rPr>
                <w:sz w:val="24"/>
                <w:szCs w:val="24"/>
              </w:rPr>
              <w:t>стандартних</w:t>
            </w:r>
            <w:proofErr w:type="spellEnd"/>
            <w:r>
              <w:rPr>
                <w:sz w:val="24"/>
                <w:szCs w:val="24"/>
              </w:rPr>
              <w:t xml:space="preserve"> умов (</w:t>
            </w:r>
            <w:proofErr w:type="spellStart"/>
            <w:r>
              <w:rPr>
                <w:sz w:val="24"/>
                <w:szCs w:val="24"/>
              </w:rPr>
              <w:t>тиск</w:t>
            </w:r>
            <w:proofErr w:type="spellEnd"/>
            <w:r>
              <w:rPr>
                <w:sz w:val="24"/>
                <w:szCs w:val="24"/>
              </w:rPr>
              <w:t xml:space="preserve"> - 760 мм ртутного </w:t>
            </w:r>
            <w:proofErr w:type="spellStart"/>
            <w:r>
              <w:rPr>
                <w:sz w:val="24"/>
                <w:szCs w:val="24"/>
              </w:rPr>
              <w:t>стовпа</w:t>
            </w:r>
            <w:proofErr w:type="spellEnd"/>
            <w:r>
              <w:rPr>
                <w:sz w:val="24"/>
                <w:szCs w:val="24"/>
              </w:rPr>
              <w:t xml:space="preserve"> і температура - 20° C) і є товарною </w:t>
            </w:r>
            <w:proofErr w:type="spellStart"/>
            <w:r>
              <w:rPr>
                <w:sz w:val="24"/>
                <w:szCs w:val="24"/>
              </w:rPr>
              <w:t>продукцією</w:t>
            </w:r>
            <w:proofErr w:type="spellEnd"/>
            <w:r>
              <w:rPr>
                <w:sz w:val="24"/>
                <w:szCs w:val="24"/>
              </w:rPr>
              <w:t>.</w:t>
            </w:r>
          </w:p>
        </w:tc>
      </w:tr>
    </w:tbl>
    <w:p w:rsidR="00CB269C" w:rsidRDefault="00CB269C" w:rsidP="00CB269C">
      <w:pPr>
        <w:rPr>
          <w:i/>
          <w:lang w:val="uk-UA"/>
        </w:rPr>
      </w:pPr>
    </w:p>
    <w:p w:rsidR="00CB269C" w:rsidRDefault="00CB269C" w:rsidP="00CB269C">
      <w:pPr>
        <w:ind w:firstLine="456"/>
        <w:jc w:val="both"/>
        <w:rPr>
          <w:i/>
          <w:sz w:val="24"/>
          <w:szCs w:val="24"/>
          <w:lang w:val="uk-UA" w:eastAsia="ar-SA"/>
        </w:rPr>
      </w:pPr>
      <w:r>
        <w:rPr>
          <w:i/>
          <w:sz w:val="24"/>
          <w:szCs w:val="24"/>
          <w:lang w:val="uk-UA" w:eastAsia="ar-SA"/>
        </w:rPr>
        <w:t>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закладів, зберігання, навантаження, розвантаження, зважування, сплату залізничних тарифів, а також інших витрат.</w:t>
      </w:r>
    </w:p>
    <w:p w:rsidR="00CB269C" w:rsidRDefault="00CB269C" w:rsidP="00CB269C">
      <w:pPr>
        <w:jc w:val="both"/>
        <w:rPr>
          <w:b/>
          <w:sz w:val="24"/>
          <w:szCs w:val="24"/>
          <w:lang w:val="uk-UA"/>
        </w:rPr>
      </w:pPr>
    </w:p>
    <w:p w:rsidR="00CB269C" w:rsidRDefault="00CB269C" w:rsidP="00CB269C">
      <w:pPr>
        <w:jc w:val="both"/>
        <w:rPr>
          <w:i/>
          <w:sz w:val="24"/>
          <w:szCs w:val="24"/>
          <w:lang w:val="uk-UA"/>
        </w:rPr>
      </w:pPr>
      <w:r>
        <w:rPr>
          <w:b/>
          <w:sz w:val="24"/>
          <w:szCs w:val="24"/>
          <w:lang w:val="uk-UA"/>
        </w:rPr>
        <w:tab/>
        <w:t>Технічні, якісні характеристики предмета закупівлі передбачають необхідність застосування заходів із захисту довкілля, дотримання яких учасники повинні підтвердити довідкою у довільній формі</w:t>
      </w:r>
      <w:r>
        <w:rPr>
          <w:i/>
          <w:sz w:val="24"/>
          <w:szCs w:val="24"/>
          <w:lang w:val="uk-UA"/>
        </w:rPr>
        <w:t>.</w:t>
      </w:r>
    </w:p>
    <w:p w:rsidR="00CB269C" w:rsidRDefault="00CB269C" w:rsidP="00CB269C">
      <w:pPr>
        <w:jc w:val="both"/>
        <w:rPr>
          <w:i/>
          <w:sz w:val="24"/>
          <w:szCs w:val="24"/>
          <w:lang w:val="uk-UA"/>
        </w:rPr>
      </w:pPr>
    </w:p>
    <w:p w:rsidR="00CB269C" w:rsidRDefault="00CB269C" w:rsidP="00CB269C">
      <w:pPr>
        <w:jc w:val="both"/>
        <w:rPr>
          <w:i/>
          <w:lang w:val="uk-UA"/>
        </w:rPr>
      </w:pPr>
    </w:p>
    <w:p w:rsidR="00CB269C" w:rsidRDefault="00CB269C" w:rsidP="00CB269C">
      <w:pPr>
        <w:jc w:val="center"/>
        <w:rPr>
          <w:i/>
          <w:lang w:val="uk-UA"/>
        </w:rPr>
      </w:pPr>
      <w:r>
        <w:rPr>
          <w:i/>
          <w:lang w:val="uk-UA"/>
        </w:rPr>
        <w:t>(дата)(Посада, підпис уповноваженої особи, завірений печаткою(за наявності )</w:t>
      </w:r>
    </w:p>
    <w:p w:rsidR="00CB269C" w:rsidRDefault="00CB269C" w:rsidP="00CB269C">
      <w:pPr>
        <w:rPr>
          <w:i/>
          <w:lang w:val="uk-UA"/>
        </w:rPr>
      </w:pPr>
    </w:p>
    <w:p w:rsidR="00CB269C" w:rsidRDefault="00CB269C" w:rsidP="00CB269C">
      <w:pPr>
        <w:jc w:val="both"/>
        <w:rPr>
          <w:b/>
          <w:bCs/>
          <w:i/>
          <w:spacing w:val="-3"/>
          <w:sz w:val="24"/>
          <w:szCs w:val="24"/>
          <w:lang w:val="uk-UA"/>
        </w:rPr>
      </w:pPr>
      <w:r>
        <w:rPr>
          <w:bCs/>
          <w:i/>
          <w:spacing w:val="-3"/>
          <w:sz w:val="24"/>
          <w:szCs w:val="24"/>
          <w:lang w:val="uk-UA"/>
        </w:rPr>
        <w:t>Примітки:</w:t>
      </w:r>
    </w:p>
    <w:p w:rsidR="00CB269C" w:rsidRDefault="00CB269C" w:rsidP="00CB269C">
      <w:pPr>
        <w:pStyle w:val="a6"/>
        <w:numPr>
          <w:ilvl w:val="0"/>
          <w:numId w:val="1"/>
        </w:numPr>
        <w:spacing w:after="200" w:line="276" w:lineRule="auto"/>
        <w:jc w:val="both"/>
        <w:rPr>
          <w:i/>
          <w:sz w:val="24"/>
          <w:szCs w:val="24"/>
        </w:rPr>
      </w:pPr>
      <w:r>
        <w:rPr>
          <w:i/>
          <w:sz w:val="24"/>
          <w:szCs w:val="24"/>
        </w:rPr>
        <w:t>На підтвердження відповідності товару технічним, якісним та кількісним вимогам Замовника, Учасник повинен надати в складі тендерної пропозиції гарантійний лист з переліком всіх характеристик товару, що надаються відповідно до Технічної специфікації, викладеної в даному Додатку, без зазначення вартості.</w:t>
      </w:r>
    </w:p>
    <w:p w:rsidR="0051012F" w:rsidRPr="0091507F" w:rsidRDefault="0051012F">
      <w:pPr>
        <w:rPr>
          <w:lang w:val="uk-UA"/>
        </w:rPr>
      </w:pPr>
    </w:p>
    <w:sectPr w:rsidR="0051012F" w:rsidRPr="009150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4F9"/>
    <w:multiLevelType w:val="multilevel"/>
    <w:tmpl w:val="CE94B286"/>
    <w:lvl w:ilvl="0">
      <w:start w:val="1"/>
      <w:numFmt w:val="decimal"/>
      <w:lvlText w:val="%1."/>
      <w:lvlJc w:val="left"/>
      <w:pPr>
        <w:ind w:left="644" w:hanging="360"/>
      </w:pPr>
      <w:rPr>
        <w:b w:val="0"/>
      </w:rPr>
    </w:lvl>
    <w:lvl w:ilvl="1">
      <w:start w:val="1"/>
      <w:numFmt w:val="decimal"/>
      <w:isLgl/>
      <w:lvlText w:val="%1.%2."/>
      <w:lvlJc w:val="left"/>
      <w:pPr>
        <w:ind w:left="644" w:hanging="360"/>
      </w:pPr>
      <w:rPr>
        <w:b/>
      </w:rPr>
    </w:lvl>
    <w:lvl w:ilvl="2">
      <w:start w:val="1"/>
      <w:numFmt w:val="decimal"/>
      <w:isLgl/>
      <w:lvlText w:val="%1.%2.%3."/>
      <w:lvlJc w:val="left"/>
      <w:pPr>
        <w:ind w:left="1004" w:hanging="720"/>
      </w:pPr>
      <w:rPr>
        <w:b/>
      </w:rPr>
    </w:lvl>
    <w:lvl w:ilvl="3">
      <w:start w:val="1"/>
      <w:numFmt w:val="decimal"/>
      <w:isLgl/>
      <w:lvlText w:val="%1.%2.%3.%4."/>
      <w:lvlJc w:val="left"/>
      <w:pPr>
        <w:ind w:left="1004"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364" w:hanging="1080"/>
      </w:pPr>
      <w:rPr>
        <w:b/>
      </w:rPr>
    </w:lvl>
    <w:lvl w:ilvl="6">
      <w:start w:val="1"/>
      <w:numFmt w:val="decimal"/>
      <w:isLgl/>
      <w:lvlText w:val="%1.%2.%3.%4.%5.%6.%7."/>
      <w:lvlJc w:val="left"/>
      <w:pPr>
        <w:ind w:left="1724" w:hanging="1440"/>
      </w:pPr>
      <w:rPr>
        <w:b/>
      </w:rPr>
    </w:lvl>
    <w:lvl w:ilvl="7">
      <w:start w:val="1"/>
      <w:numFmt w:val="decimal"/>
      <w:isLgl/>
      <w:lvlText w:val="%1.%2.%3.%4.%5.%6.%7.%8."/>
      <w:lvlJc w:val="left"/>
      <w:pPr>
        <w:ind w:left="1724" w:hanging="1440"/>
      </w:pPr>
      <w:rPr>
        <w:b/>
      </w:rPr>
    </w:lvl>
    <w:lvl w:ilvl="8">
      <w:start w:val="1"/>
      <w:numFmt w:val="decimal"/>
      <w:isLgl/>
      <w:lvlText w:val="%1.%2.%3.%4.%5.%6.%7.%8.%9."/>
      <w:lvlJc w:val="left"/>
      <w:pPr>
        <w:ind w:left="2084"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9C"/>
    <w:rsid w:val="00306F5A"/>
    <w:rsid w:val="0051012F"/>
    <w:rsid w:val="008B26FF"/>
    <w:rsid w:val="0091507F"/>
    <w:rsid w:val="00CB269C"/>
    <w:rsid w:val="00D33F40"/>
    <w:rsid w:val="00F20A9D"/>
    <w:rsid w:val="00F865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1970"/>
  <w15:chartTrackingRefBased/>
  <w15:docId w15:val="{301DB4E0-ACEF-4622-A942-D13EFECA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69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269C"/>
    <w:pPr>
      <w:tabs>
        <w:tab w:val="center" w:pos="4677"/>
        <w:tab w:val="right" w:pos="9355"/>
      </w:tabs>
    </w:pPr>
    <w:rPr>
      <w:lang w:val="uk-UA" w:eastAsia="en-US"/>
    </w:rPr>
  </w:style>
  <w:style w:type="character" w:customStyle="1" w:styleId="a4">
    <w:name w:val="Нижний колонтитул Знак"/>
    <w:basedOn w:val="a0"/>
    <w:link w:val="a3"/>
    <w:uiPriority w:val="99"/>
    <w:semiHidden/>
    <w:rsid w:val="00CB269C"/>
    <w:rPr>
      <w:rFonts w:ascii="Times New Roman" w:eastAsia="Times New Roman" w:hAnsi="Times New Roman" w:cs="Times New Roman"/>
      <w:sz w:val="20"/>
      <w:szCs w:val="20"/>
    </w:rPr>
  </w:style>
  <w:style w:type="character" w:customStyle="1" w:styleId="a5">
    <w:name w:val="Абзац списка Знак"/>
    <w:link w:val="a6"/>
    <w:uiPriority w:val="99"/>
    <w:locked/>
    <w:rsid w:val="00CB269C"/>
    <w:rPr>
      <w:rFonts w:ascii="Times New Roman" w:eastAsia="Times New Roman" w:hAnsi="Times New Roman" w:cs="Times New Roman"/>
      <w:sz w:val="20"/>
      <w:szCs w:val="20"/>
    </w:rPr>
  </w:style>
  <w:style w:type="paragraph" w:styleId="a6">
    <w:name w:val="List Paragraph"/>
    <w:basedOn w:val="a"/>
    <w:link w:val="a5"/>
    <w:uiPriority w:val="99"/>
    <w:qFormat/>
    <w:rsid w:val="00CB269C"/>
    <w:pPr>
      <w:ind w:left="720"/>
      <w:contextualSpacing/>
    </w:pPr>
    <w:rPr>
      <w:lang w:val="uk-UA" w:eastAsia="en-US"/>
    </w:rPr>
  </w:style>
  <w:style w:type="character" w:customStyle="1" w:styleId="a7">
    <w:name w:val="Основной текст_"/>
    <w:link w:val="1"/>
    <w:locked/>
    <w:rsid w:val="00CB269C"/>
    <w:rPr>
      <w:spacing w:val="10"/>
      <w:sz w:val="18"/>
      <w:szCs w:val="18"/>
      <w:shd w:val="clear" w:color="auto" w:fill="FFFFFF"/>
    </w:rPr>
  </w:style>
  <w:style w:type="paragraph" w:customStyle="1" w:styleId="1">
    <w:name w:val="Основной текст1"/>
    <w:basedOn w:val="a"/>
    <w:link w:val="a7"/>
    <w:rsid w:val="00CB269C"/>
    <w:pPr>
      <w:shd w:val="clear" w:color="auto" w:fill="FFFFFF"/>
      <w:spacing w:line="0" w:lineRule="atLeast"/>
    </w:pPr>
    <w:rPr>
      <w:rFonts w:asciiTheme="minorHAnsi" w:eastAsiaTheme="minorHAnsi" w:hAnsiTheme="minorHAnsi" w:cstheme="minorBidi"/>
      <w:spacing w:val="10"/>
      <w:sz w:val="18"/>
      <w:szCs w:val="18"/>
      <w:lang w:val="uk-UA" w:eastAsia="en-US"/>
    </w:rPr>
  </w:style>
  <w:style w:type="paragraph" w:customStyle="1" w:styleId="rvps2">
    <w:name w:val="rvps2"/>
    <w:basedOn w:val="a"/>
    <w:rsid w:val="00CB269C"/>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2571</Words>
  <Characters>1466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7</cp:revision>
  <dcterms:created xsi:type="dcterms:W3CDTF">2022-11-28T14:21:00Z</dcterms:created>
  <dcterms:modified xsi:type="dcterms:W3CDTF">2022-11-29T10:17:00Z</dcterms:modified>
</cp:coreProperties>
</file>