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6E" w:rsidRDefault="00294CE6">
      <w:pPr>
        <w:spacing w:before="70" w:line="274" w:lineRule="exact"/>
        <w:ind w:left="5788"/>
        <w:jc w:val="both"/>
        <w:rPr>
          <w:b/>
          <w:sz w:val="24"/>
        </w:rPr>
      </w:pPr>
      <w:r>
        <w:rPr>
          <w:b/>
          <w:sz w:val="24"/>
        </w:rPr>
        <w:t>Додаток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7F0F6E" w:rsidRDefault="00294CE6">
      <w:pPr>
        <w:ind w:left="5788" w:right="364"/>
        <w:jc w:val="both"/>
        <w:rPr>
          <w:i/>
          <w:sz w:val="20"/>
        </w:rPr>
      </w:pPr>
      <w:r>
        <w:rPr>
          <w:i/>
          <w:sz w:val="20"/>
        </w:rPr>
        <w:t>до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тендерної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документації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закупівлю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Електрична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енергія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гуртожитків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(ДК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021:2015 «Єдиний закупівельний словник»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09310000-5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Електрична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енергія)</w:t>
      </w:r>
    </w:p>
    <w:p w:rsidR="007F0F6E" w:rsidRDefault="007F0F6E">
      <w:pPr>
        <w:pStyle w:val="a3"/>
        <w:spacing w:before="1"/>
        <w:ind w:left="0"/>
        <w:rPr>
          <w:i/>
          <w:sz w:val="24"/>
        </w:rPr>
      </w:pPr>
    </w:p>
    <w:p w:rsidR="007F0F6E" w:rsidRDefault="00294CE6">
      <w:pPr>
        <w:pStyle w:val="1"/>
        <w:ind w:right="1930"/>
        <w:rPr>
          <w:u w:val="none"/>
        </w:rPr>
      </w:pPr>
      <w:r>
        <w:rPr>
          <w:u w:val="thick"/>
        </w:rPr>
        <w:t>Технічні,</w:t>
      </w:r>
      <w:r>
        <w:rPr>
          <w:spacing w:val="-3"/>
          <w:u w:val="thick"/>
        </w:rPr>
        <w:t xml:space="preserve"> </w:t>
      </w:r>
      <w:r>
        <w:rPr>
          <w:u w:val="thick"/>
        </w:rPr>
        <w:t>якісні</w:t>
      </w:r>
      <w:r>
        <w:rPr>
          <w:spacing w:val="-4"/>
          <w:u w:val="thick"/>
        </w:rPr>
        <w:t xml:space="preserve"> </w:t>
      </w:r>
      <w:r>
        <w:rPr>
          <w:u w:val="thick"/>
        </w:rPr>
        <w:t>та</w:t>
      </w:r>
      <w:r>
        <w:rPr>
          <w:spacing w:val="-2"/>
          <w:u w:val="thick"/>
        </w:rPr>
        <w:t xml:space="preserve"> </w:t>
      </w:r>
      <w:r>
        <w:rPr>
          <w:u w:val="thick"/>
        </w:rPr>
        <w:t>інші характеристики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закупівлі</w:t>
      </w:r>
    </w:p>
    <w:p w:rsidR="007F0F6E" w:rsidRDefault="007F0F6E">
      <w:pPr>
        <w:pStyle w:val="a3"/>
        <w:spacing w:before="7"/>
        <w:ind w:left="0"/>
        <w:rPr>
          <w:b/>
          <w:sz w:val="15"/>
        </w:rPr>
      </w:pPr>
    </w:p>
    <w:p w:rsidR="007F0F6E" w:rsidRDefault="00294CE6">
      <w:pPr>
        <w:pStyle w:val="a4"/>
        <w:numPr>
          <w:ilvl w:val="0"/>
          <w:numId w:val="3"/>
        </w:numPr>
        <w:tabs>
          <w:tab w:val="left" w:pos="347"/>
        </w:tabs>
        <w:spacing w:before="92"/>
        <w:jc w:val="both"/>
      </w:pPr>
      <w:r>
        <w:t>Учасник</w:t>
      </w:r>
      <w:r>
        <w:rPr>
          <w:spacing w:val="9"/>
        </w:rPr>
        <w:t xml:space="preserve"> </w:t>
      </w:r>
      <w:r>
        <w:t>зобов’язується</w:t>
      </w:r>
      <w:r>
        <w:rPr>
          <w:spacing w:val="11"/>
        </w:rPr>
        <w:t xml:space="preserve"> </w:t>
      </w:r>
      <w:r>
        <w:t>забезпечити</w:t>
      </w:r>
      <w:r>
        <w:rPr>
          <w:spacing w:val="8"/>
        </w:rPr>
        <w:t xml:space="preserve"> </w:t>
      </w:r>
      <w:r>
        <w:t>постачання</w:t>
      </w:r>
      <w:r>
        <w:rPr>
          <w:spacing w:val="6"/>
        </w:rPr>
        <w:t xml:space="preserve"> </w:t>
      </w:r>
      <w:r>
        <w:t>електричної</w:t>
      </w:r>
      <w:r>
        <w:rPr>
          <w:spacing w:val="7"/>
        </w:rPr>
        <w:t xml:space="preserve"> </w:t>
      </w:r>
      <w:r>
        <w:t>енергії</w:t>
      </w:r>
      <w:r>
        <w:rPr>
          <w:spacing w:val="9"/>
        </w:rPr>
        <w:t xml:space="preserve"> </w:t>
      </w:r>
      <w:r>
        <w:t>відповідно</w:t>
      </w:r>
      <w:r>
        <w:rPr>
          <w:spacing w:val="7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Закону</w:t>
      </w:r>
      <w:r>
        <w:rPr>
          <w:spacing w:val="7"/>
        </w:rPr>
        <w:t xml:space="preserve"> </w:t>
      </w:r>
      <w:r>
        <w:t>України</w:t>
      </w:r>
    </w:p>
    <w:p w:rsidR="007F0F6E" w:rsidRDefault="00294CE6">
      <w:pPr>
        <w:pStyle w:val="a3"/>
        <w:spacing w:before="1"/>
        <w:ind w:right="363"/>
        <w:jc w:val="both"/>
      </w:pPr>
      <w:r>
        <w:t>«Про ринок електричної енергії» та Правил роздрібного ринку електричної енергії (далі - ПРРЕЕ). У</w:t>
      </w:r>
      <w:r>
        <w:rPr>
          <w:spacing w:val="1"/>
        </w:rPr>
        <w:t xml:space="preserve"> </w:t>
      </w:r>
      <w:r>
        <w:t>ціні тендерної пропозиції повинна бути врахована вартість усіх супутніх витрат (включаючи вартість</w:t>
      </w:r>
      <w:r>
        <w:rPr>
          <w:spacing w:val="1"/>
        </w:rPr>
        <w:t xml:space="preserve"> </w:t>
      </w:r>
      <w:r>
        <w:t>послуг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передачі</w:t>
      </w:r>
      <w:r>
        <w:rPr>
          <w:spacing w:val="-5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3"/>
        </w:rPr>
        <w:t xml:space="preserve"> </w:t>
      </w:r>
      <w:r>
        <w:t>оператору</w:t>
      </w:r>
      <w:r>
        <w:rPr>
          <w:spacing w:val="-6"/>
        </w:rPr>
        <w:t xml:space="preserve"> </w:t>
      </w:r>
      <w:r>
        <w:t>системи</w:t>
      </w:r>
      <w:r>
        <w:rPr>
          <w:spacing w:val="-6"/>
        </w:rPr>
        <w:t xml:space="preserve"> </w:t>
      </w:r>
      <w:r>
        <w:t>передачі</w:t>
      </w:r>
      <w:r>
        <w:rPr>
          <w:spacing w:val="-3"/>
        </w:rPr>
        <w:t xml:space="preserve"> </w:t>
      </w:r>
      <w:r>
        <w:t>ДП</w:t>
      </w:r>
      <w:r>
        <w:rPr>
          <w:spacing w:val="-4"/>
        </w:rPr>
        <w:t xml:space="preserve"> </w:t>
      </w:r>
      <w:r>
        <w:t>НЕК</w:t>
      </w:r>
      <w:r>
        <w:rPr>
          <w:spacing w:val="-6"/>
        </w:rPr>
        <w:t xml:space="preserve"> </w:t>
      </w:r>
      <w:r>
        <w:t>«Укренерго»</w:t>
      </w:r>
      <w:r>
        <w:rPr>
          <w:spacing w:val="-9"/>
        </w:rPr>
        <w:t xml:space="preserve"> </w:t>
      </w:r>
      <w:r>
        <w:t>(далі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ОСП),</w:t>
      </w:r>
      <w:r>
        <w:rPr>
          <w:spacing w:val="-52"/>
        </w:rPr>
        <w:t xml:space="preserve"> </w:t>
      </w:r>
      <w:r>
        <w:t>відповідно до укладеного між Постачальником та ОСП Договором відповідно до постанови НКРЕКП</w:t>
      </w:r>
      <w:r>
        <w:rPr>
          <w:spacing w:val="1"/>
        </w:rPr>
        <w:t xml:space="preserve"> </w:t>
      </w:r>
      <w:r>
        <w:t>від 10.12.2019 року</w:t>
      </w:r>
      <w:r>
        <w:rPr>
          <w:spacing w:val="-3"/>
        </w:rPr>
        <w:t xml:space="preserve"> </w:t>
      </w:r>
      <w:r>
        <w:t>№ 2668.</w:t>
      </w:r>
    </w:p>
    <w:p w:rsidR="007F0F6E" w:rsidRDefault="00294CE6">
      <w:pPr>
        <w:pStyle w:val="a4"/>
        <w:numPr>
          <w:ilvl w:val="0"/>
          <w:numId w:val="3"/>
        </w:numPr>
        <w:tabs>
          <w:tab w:val="left" w:pos="352"/>
        </w:tabs>
        <w:ind w:left="116" w:right="365" w:firstLine="0"/>
        <w:jc w:val="both"/>
      </w:pPr>
      <w:r>
        <w:t>У відповідності до частини 2 статті 56 Закону України «Про ринок електричної енергії»: «</w:t>
      </w:r>
      <w:r>
        <w:rPr>
          <w:i/>
        </w:rPr>
        <w:t>Договір</w:t>
      </w:r>
      <w:r>
        <w:rPr>
          <w:i/>
          <w:spacing w:val="1"/>
        </w:rPr>
        <w:t xml:space="preserve"> </w:t>
      </w:r>
      <w:r>
        <w:rPr>
          <w:i/>
        </w:rPr>
        <w:t>постачання</w:t>
      </w:r>
      <w:r>
        <w:rPr>
          <w:i/>
          <w:spacing w:val="1"/>
        </w:rPr>
        <w:t xml:space="preserve"> </w:t>
      </w:r>
      <w:r>
        <w:rPr>
          <w:i/>
        </w:rPr>
        <w:t>електричної</w:t>
      </w:r>
      <w:r>
        <w:rPr>
          <w:i/>
          <w:spacing w:val="1"/>
        </w:rPr>
        <w:t xml:space="preserve"> </w:t>
      </w:r>
      <w:r>
        <w:rPr>
          <w:i/>
        </w:rPr>
        <w:t>енергії</w:t>
      </w:r>
      <w:r>
        <w:rPr>
          <w:i/>
          <w:spacing w:val="1"/>
        </w:rPr>
        <w:t xml:space="preserve"> </w:t>
      </w:r>
      <w:r>
        <w:rPr>
          <w:i/>
        </w:rPr>
        <w:t>споживачу</w:t>
      </w:r>
      <w:r>
        <w:rPr>
          <w:i/>
          <w:spacing w:val="1"/>
        </w:rPr>
        <w:t xml:space="preserve"> </w:t>
      </w:r>
      <w:r>
        <w:rPr>
          <w:i/>
        </w:rPr>
        <w:t>укладається</w:t>
      </w:r>
      <w:r>
        <w:rPr>
          <w:i/>
          <w:spacing w:val="1"/>
        </w:rPr>
        <w:t xml:space="preserve"> </w:t>
      </w:r>
      <w:r>
        <w:rPr>
          <w:i/>
        </w:rPr>
        <w:t>між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електропостачальником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споживачем та передбачає постачання всього обсягу фактичного споживання електричної енергії</w:t>
      </w:r>
      <w:r>
        <w:rPr>
          <w:i/>
          <w:spacing w:val="1"/>
        </w:rPr>
        <w:t xml:space="preserve"> </w:t>
      </w:r>
      <w:r>
        <w:rPr>
          <w:i/>
        </w:rPr>
        <w:t xml:space="preserve">споживачем у певний період часу одним </w:t>
      </w:r>
      <w:proofErr w:type="spellStart"/>
      <w:r>
        <w:rPr>
          <w:i/>
        </w:rPr>
        <w:t>електропостачальником</w:t>
      </w:r>
      <w:proofErr w:type="spellEnd"/>
      <w:r>
        <w:rPr>
          <w:i/>
        </w:rPr>
        <w:t>. Постачання електричної енергії</w:t>
      </w:r>
      <w:r>
        <w:rPr>
          <w:i/>
          <w:spacing w:val="1"/>
        </w:rPr>
        <w:t xml:space="preserve"> </w:t>
      </w:r>
      <w:r>
        <w:rPr>
          <w:i/>
        </w:rPr>
        <w:t>споживачам здійснюється за вільними цінами</w:t>
      </w:r>
      <w:r>
        <w:t>». З огляду на це учасники формують свої тендерні</w:t>
      </w:r>
      <w:r>
        <w:rPr>
          <w:spacing w:val="1"/>
        </w:rPr>
        <w:t xml:space="preserve"> </w:t>
      </w:r>
      <w:r>
        <w:t>пропозиції за</w:t>
      </w:r>
      <w:r>
        <w:rPr>
          <w:spacing w:val="-2"/>
        </w:rPr>
        <w:t xml:space="preserve"> </w:t>
      </w:r>
      <w:r>
        <w:t>ринковими</w:t>
      </w:r>
      <w:r>
        <w:rPr>
          <w:spacing w:val="-3"/>
        </w:rPr>
        <w:t xml:space="preserve"> </w:t>
      </w:r>
      <w:r>
        <w:t>цінами.</w:t>
      </w:r>
    </w:p>
    <w:p w:rsidR="007F0F6E" w:rsidRDefault="00294CE6">
      <w:pPr>
        <w:pStyle w:val="a4"/>
        <w:numPr>
          <w:ilvl w:val="0"/>
          <w:numId w:val="3"/>
        </w:numPr>
        <w:tabs>
          <w:tab w:val="left" w:pos="371"/>
        </w:tabs>
        <w:ind w:left="116" w:right="368" w:hanging="3"/>
      </w:pPr>
      <w:r>
        <w:t>Оплата</w:t>
      </w:r>
      <w:r>
        <w:rPr>
          <w:spacing w:val="32"/>
        </w:rPr>
        <w:t xml:space="preserve"> </w:t>
      </w:r>
      <w:r>
        <w:t>послуг</w:t>
      </w:r>
      <w:r>
        <w:rPr>
          <w:spacing w:val="34"/>
        </w:rPr>
        <w:t xml:space="preserve"> </w:t>
      </w:r>
      <w:r>
        <w:t>з</w:t>
      </w:r>
      <w:r>
        <w:rPr>
          <w:spacing w:val="33"/>
        </w:rPr>
        <w:t xml:space="preserve"> </w:t>
      </w:r>
      <w:r>
        <w:t>передачі</w:t>
      </w:r>
      <w:r>
        <w:rPr>
          <w:spacing w:val="34"/>
        </w:rPr>
        <w:t xml:space="preserve"> </w:t>
      </w:r>
      <w:r>
        <w:t>електричної</w:t>
      </w:r>
      <w:r>
        <w:rPr>
          <w:spacing w:val="34"/>
        </w:rPr>
        <w:t xml:space="preserve"> </w:t>
      </w:r>
      <w:r>
        <w:t>енергії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Споживача,</w:t>
      </w:r>
      <w:r>
        <w:rPr>
          <w:spacing w:val="34"/>
        </w:rPr>
        <w:t xml:space="preserve"> </w:t>
      </w:r>
      <w:r>
        <w:t>об’єкти</w:t>
      </w:r>
      <w:r>
        <w:rPr>
          <w:spacing w:val="30"/>
        </w:rPr>
        <w:t xml:space="preserve"> </w:t>
      </w:r>
      <w:r>
        <w:t>(електроустановки)</w:t>
      </w:r>
      <w:r>
        <w:rPr>
          <w:spacing w:val="33"/>
        </w:rPr>
        <w:t xml:space="preserve"> </w:t>
      </w:r>
      <w:r>
        <w:t>якого</w:t>
      </w:r>
      <w:r>
        <w:rPr>
          <w:spacing w:val="-52"/>
        </w:rPr>
        <w:t xml:space="preserve"> </w:t>
      </w:r>
      <w:r>
        <w:t>приєднані</w:t>
      </w:r>
      <w:r>
        <w:rPr>
          <w:spacing w:val="-1"/>
        </w:rPr>
        <w:t xml:space="preserve"> </w:t>
      </w:r>
      <w:r>
        <w:t>до мереж</w:t>
      </w:r>
      <w:r>
        <w:rPr>
          <w:spacing w:val="1"/>
        </w:rPr>
        <w:t xml:space="preserve"> </w:t>
      </w:r>
      <w:r>
        <w:t>ОСР,</w:t>
      </w:r>
      <w:r>
        <w:rPr>
          <w:spacing w:val="-3"/>
        </w:rPr>
        <w:t xml:space="preserve"> </w:t>
      </w:r>
      <w:r>
        <w:t>здійснюється через</w:t>
      </w:r>
      <w:r>
        <w:rPr>
          <w:spacing w:val="-2"/>
        </w:rPr>
        <w:t xml:space="preserve"> </w:t>
      </w:r>
      <w:r>
        <w:t>Постачальника.</w:t>
      </w:r>
    </w:p>
    <w:p w:rsidR="007F0F6E" w:rsidRDefault="00294CE6">
      <w:pPr>
        <w:pStyle w:val="a4"/>
        <w:numPr>
          <w:ilvl w:val="0"/>
          <w:numId w:val="3"/>
        </w:numPr>
        <w:tabs>
          <w:tab w:val="left" w:pos="333"/>
        </w:tabs>
        <w:ind w:left="116" w:right="367" w:firstLine="0"/>
      </w:pPr>
      <w:r>
        <w:t>Бюджетні</w:t>
      </w:r>
      <w:r>
        <w:rPr>
          <w:spacing w:val="-6"/>
        </w:rPr>
        <w:t xml:space="preserve"> </w:t>
      </w:r>
      <w:r>
        <w:t>зобов’язання</w:t>
      </w:r>
      <w:r>
        <w:rPr>
          <w:spacing w:val="-9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договором</w:t>
      </w:r>
      <w:r>
        <w:rPr>
          <w:spacing w:val="-7"/>
        </w:rPr>
        <w:t xml:space="preserve"> </w:t>
      </w:r>
      <w:r>
        <w:t>виникають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разі</w:t>
      </w:r>
      <w:r>
        <w:rPr>
          <w:spacing w:val="-6"/>
        </w:rPr>
        <w:t xml:space="preserve"> </w:t>
      </w:r>
      <w:r>
        <w:t>наявності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межах</w:t>
      </w:r>
      <w:r>
        <w:rPr>
          <w:spacing w:val="-6"/>
        </w:rPr>
        <w:t xml:space="preserve"> </w:t>
      </w:r>
      <w:r>
        <w:t>відповідних</w:t>
      </w:r>
      <w:r>
        <w:rPr>
          <w:spacing w:val="-9"/>
        </w:rPr>
        <w:t xml:space="preserve"> </w:t>
      </w:r>
      <w:r>
        <w:t>бюджетних</w:t>
      </w:r>
      <w:r>
        <w:rPr>
          <w:spacing w:val="-52"/>
        </w:rPr>
        <w:t xml:space="preserve"> </w:t>
      </w:r>
      <w:r>
        <w:t>асигнувань.</w:t>
      </w:r>
    </w:p>
    <w:p w:rsidR="007F0F6E" w:rsidRDefault="00294CE6">
      <w:pPr>
        <w:pStyle w:val="a4"/>
        <w:numPr>
          <w:ilvl w:val="0"/>
          <w:numId w:val="3"/>
        </w:numPr>
        <w:tabs>
          <w:tab w:val="left" w:pos="338"/>
        </w:tabs>
        <w:spacing w:after="6"/>
        <w:ind w:left="337" w:hanging="222"/>
      </w:pPr>
      <w:r>
        <w:t>Найменування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(обсяг)</w:t>
      </w:r>
      <w:r>
        <w:rPr>
          <w:spacing w:val="-2"/>
        </w:rPr>
        <w:t xml:space="preserve"> </w:t>
      </w:r>
      <w:r>
        <w:t>поставки</w:t>
      </w:r>
      <w:r>
        <w:rPr>
          <w:spacing w:val="-3"/>
        </w:rPr>
        <w:t xml:space="preserve"> </w:t>
      </w:r>
      <w:r>
        <w:t>товару: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1508"/>
        <w:gridCol w:w="2269"/>
        <w:gridCol w:w="4254"/>
      </w:tblGrid>
      <w:tr w:rsidR="007F0F6E">
        <w:trPr>
          <w:trHeight w:val="506"/>
        </w:trPr>
        <w:tc>
          <w:tcPr>
            <w:tcW w:w="1747" w:type="dxa"/>
          </w:tcPr>
          <w:p w:rsidR="007F0F6E" w:rsidRDefault="00294CE6">
            <w:pPr>
              <w:pStyle w:val="TableParagraph"/>
              <w:spacing w:line="252" w:lineRule="exact"/>
              <w:ind w:left="455" w:right="219" w:hanging="346"/>
              <w:rPr>
                <w:b/>
                <w:i/>
              </w:rPr>
            </w:pPr>
            <w:r>
              <w:rPr>
                <w:b/>
                <w:i/>
              </w:rPr>
              <w:t>найменування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товару</w:t>
            </w:r>
          </w:p>
        </w:tc>
        <w:tc>
          <w:tcPr>
            <w:tcW w:w="1508" w:type="dxa"/>
          </w:tcPr>
          <w:p w:rsidR="007F0F6E" w:rsidRDefault="00294CE6">
            <w:pPr>
              <w:pStyle w:val="TableParagraph"/>
              <w:spacing w:line="252" w:lineRule="exact"/>
              <w:ind w:left="203" w:right="306" w:hanging="15"/>
              <w:rPr>
                <w:b/>
                <w:i/>
              </w:rPr>
            </w:pPr>
            <w:r>
              <w:rPr>
                <w:b/>
                <w:i/>
              </w:rPr>
              <w:t>кількість,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кВт./</w:t>
            </w:r>
            <w:proofErr w:type="spellStart"/>
            <w:r>
              <w:rPr>
                <w:b/>
                <w:i/>
              </w:rPr>
              <w:t>год</w:t>
            </w:r>
            <w:proofErr w:type="spellEnd"/>
            <w:r>
              <w:rPr>
                <w:b/>
                <w:i/>
              </w:rPr>
              <w:t>*</w:t>
            </w:r>
          </w:p>
        </w:tc>
        <w:tc>
          <w:tcPr>
            <w:tcW w:w="2269" w:type="dxa"/>
          </w:tcPr>
          <w:p w:rsidR="007F0F6E" w:rsidRDefault="00294CE6">
            <w:pPr>
              <w:pStyle w:val="TableParagraph"/>
              <w:spacing w:before="1"/>
              <w:ind w:left="141"/>
              <w:rPr>
                <w:b/>
                <w:i/>
              </w:rPr>
            </w:pPr>
            <w:r>
              <w:rPr>
                <w:b/>
                <w:i/>
              </w:rPr>
              <w:t>стандарти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якості</w:t>
            </w:r>
          </w:p>
        </w:tc>
        <w:tc>
          <w:tcPr>
            <w:tcW w:w="4254" w:type="dxa"/>
          </w:tcPr>
          <w:p w:rsidR="007F0F6E" w:rsidRDefault="00294CE6">
            <w:pPr>
              <w:pStyle w:val="TableParagraph"/>
              <w:spacing w:before="1"/>
              <w:ind w:left="776"/>
              <w:rPr>
                <w:b/>
                <w:i/>
              </w:rPr>
            </w:pPr>
            <w:r>
              <w:rPr>
                <w:b/>
                <w:i/>
              </w:rPr>
              <w:t>Технічні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характеристики</w:t>
            </w:r>
          </w:p>
        </w:tc>
      </w:tr>
      <w:tr w:rsidR="007F0F6E">
        <w:trPr>
          <w:trHeight w:val="1610"/>
        </w:trPr>
        <w:tc>
          <w:tcPr>
            <w:tcW w:w="1747" w:type="dxa"/>
          </w:tcPr>
          <w:p w:rsidR="007F0F6E" w:rsidRDefault="00294CE6">
            <w:pPr>
              <w:pStyle w:val="TableParagraph"/>
              <w:ind w:left="285" w:right="292" w:firstLine="45"/>
              <w:jc w:val="both"/>
            </w:pPr>
            <w:r>
              <w:t>електрична</w:t>
            </w:r>
            <w:r>
              <w:rPr>
                <w:spacing w:val="-53"/>
              </w:rPr>
              <w:t xml:space="preserve"> </w:t>
            </w:r>
            <w:r>
              <w:t>енергія для</w:t>
            </w:r>
            <w:r>
              <w:rPr>
                <w:spacing w:val="1"/>
              </w:rPr>
              <w:t xml:space="preserve"> </w:t>
            </w:r>
            <w:r>
              <w:t>гуртожитків</w:t>
            </w:r>
          </w:p>
        </w:tc>
        <w:tc>
          <w:tcPr>
            <w:tcW w:w="1508" w:type="dxa"/>
          </w:tcPr>
          <w:p w:rsidR="007F0F6E" w:rsidRDefault="00A3103D">
            <w:pPr>
              <w:pStyle w:val="TableParagraph"/>
              <w:spacing w:line="249" w:lineRule="exact"/>
              <w:ind w:left="410"/>
            </w:pPr>
            <w:r>
              <w:t>142863</w:t>
            </w:r>
          </w:p>
        </w:tc>
        <w:tc>
          <w:tcPr>
            <w:tcW w:w="2269" w:type="dxa"/>
          </w:tcPr>
          <w:p w:rsidR="007F0F6E" w:rsidRDefault="00294CE6">
            <w:pPr>
              <w:pStyle w:val="TableParagraph"/>
              <w:ind w:left="359" w:right="377"/>
              <w:jc w:val="center"/>
            </w:pPr>
            <w:r>
              <w:t>ГОСТ 13109-97,</w:t>
            </w:r>
            <w:r>
              <w:rPr>
                <w:spacing w:val="-53"/>
              </w:rPr>
              <w:t xml:space="preserve"> </w:t>
            </w:r>
            <w:r>
              <w:t>ДСТУ EN</w:t>
            </w:r>
            <w:r>
              <w:rPr>
                <w:spacing w:val="1"/>
              </w:rPr>
              <w:t xml:space="preserve"> </w:t>
            </w:r>
            <w:r>
              <w:t>50160:2014</w:t>
            </w:r>
          </w:p>
        </w:tc>
        <w:tc>
          <w:tcPr>
            <w:tcW w:w="4254" w:type="dxa"/>
          </w:tcPr>
          <w:p w:rsidR="007F0F6E" w:rsidRDefault="00294CE6">
            <w:pPr>
              <w:pStyle w:val="TableParagraph"/>
              <w:spacing w:line="225" w:lineRule="exact"/>
              <w:ind w:right="263"/>
              <w:jc w:val="center"/>
              <w:rPr>
                <w:sz w:val="20"/>
              </w:rPr>
            </w:pPr>
            <w:r>
              <w:rPr>
                <w:sz w:val="20"/>
              </w:rPr>
              <w:t>Клас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напруги: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7F0F6E" w:rsidRDefault="00294CE6">
            <w:pPr>
              <w:pStyle w:val="TableParagraph"/>
              <w:ind w:left="266" w:right="289"/>
              <w:jc w:val="center"/>
              <w:rPr>
                <w:sz w:val="20"/>
              </w:rPr>
            </w:pPr>
            <w:r>
              <w:rPr>
                <w:sz w:val="20"/>
              </w:rPr>
              <w:t>Показники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електричної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енергії,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постачається Замовнику, повинні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ДСТУ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50160:2014</w:t>
            </w:r>
          </w:p>
          <w:p w:rsidR="007F0F6E" w:rsidRDefault="00294CE6">
            <w:pPr>
              <w:pStyle w:val="TableParagraph"/>
              <w:spacing w:before="2" w:line="229" w:lineRule="exact"/>
              <w:ind w:right="284"/>
              <w:jc w:val="center"/>
              <w:rPr>
                <w:sz w:val="20"/>
              </w:rPr>
            </w:pPr>
            <w:r>
              <w:rPr>
                <w:sz w:val="20"/>
              </w:rPr>
              <w:t>«Характеристики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напруги</w:t>
            </w:r>
          </w:p>
          <w:p w:rsidR="007F0F6E" w:rsidRDefault="00294CE6">
            <w:pPr>
              <w:pStyle w:val="TableParagraph"/>
              <w:spacing w:line="230" w:lineRule="exact"/>
              <w:ind w:right="289"/>
              <w:jc w:val="center"/>
              <w:rPr>
                <w:sz w:val="20"/>
              </w:rPr>
            </w:pPr>
            <w:r>
              <w:rPr>
                <w:sz w:val="20"/>
              </w:rPr>
              <w:t>електропостачання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електричних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мережах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загальної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призначеності</w:t>
            </w:r>
            <w:proofErr w:type="spellEnd"/>
            <w:r>
              <w:rPr>
                <w:sz w:val="20"/>
              </w:rPr>
              <w:t>»</w:t>
            </w:r>
          </w:p>
        </w:tc>
      </w:tr>
    </w:tbl>
    <w:p w:rsidR="007F0F6E" w:rsidRDefault="00294CE6">
      <w:pPr>
        <w:ind w:left="116" w:right="367"/>
        <w:jc w:val="both"/>
        <w:rPr>
          <w:i/>
          <w:sz w:val="18"/>
        </w:rPr>
      </w:pPr>
      <w:r>
        <w:rPr>
          <w:i/>
          <w:sz w:val="18"/>
        </w:rPr>
        <w:t>*Закупівля здійснюється на очікувану вартість згідно потреби до кінця 2023 року, відповідно після укладення договору про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закупівлю обсяги закупівлі можуть бути зменшені з урахуванням фактичного споживання електричної енергії та розміру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фінансування.</w:t>
      </w:r>
    </w:p>
    <w:p w:rsidR="007F0F6E" w:rsidRDefault="00294CE6">
      <w:pPr>
        <w:pStyle w:val="a4"/>
        <w:numPr>
          <w:ilvl w:val="0"/>
          <w:numId w:val="2"/>
        </w:numPr>
        <w:tabs>
          <w:tab w:val="left" w:pos="338"/>
        </w:tabs>
        <w:spacing w:line="252" w:lineRule="exact"/>
        <w:ind w:hanging="222"/>
      </w:pPr>
      <w:r>
        <w:t>Строк</w:t>
      </w:r>
      <w:r>
        <w:rPr>
          <w:spacing w:val="-2"/>
        </w:rPr>
        <w:t xml:space="preserve"> </w:t>
      </w:r>
      <w:r>
        <w:t>(термін)</w:t>
      </w:r>
      <w:r>
        <w:rPr>
          <w:spacing w:val="-1"/>
        </w:rPr>
        <w:t xml:space="preserve"> </w:t>
      </w:r>
      <w:r>
        <w:t>поставки товару: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31.12.2023</w:t>
      </w:r>
      <w:r>
        <w:rPr>
          <w:spacing w:val="-1"/>
        </w:rPr>
        <w:t xml:space="preserve"> </w:t>
      </w:r>
      <w:r>
        <w:t>р.</w:t>
      </w:r>
    </w:p>
    <w:p w:rsidR="007F0F6E" w:rsidRDefault="00294CE6">
      <w:pPr>
        <w:pStyle w:val="a4"/>
        <w:numPr>
          <w:ilvl w:val="0"/>
          <w:numId w:val="2"/>
        </w:numPr>
        <w:tabs>
          <w:tab w:val="left" w:pos="357"/>
        </w:tabs>
        <w:ind w:left="116" w:right="366" w:firstLine="0"/>
      </w:pPr>
      <w:r>
        <w:t>Місце</w:t>
      </w:r>
      <w:r>
        <w:rPr>
          <w:spacing w:val="17"/>
        </w:rPr>
        <w:t xml:space="preserve"> </w:t>
      </w:r>
      <w:r>
        <w:t>поставки</w:t>
      </w:r>
      <w:r>
        <w:rPr>
          <w:spacing w:val="17"/>
        </w:rPr>
        <w:t xml:space="preserve"> </w:t>
      </w:r>
      <w:r>
        <w:t>товару:</w:t>
      </w:r>
      <w:r>
        <w:rPr>
          <w:spacing w:val="20"/>
        </w:rPr>
        <w:t xml:space="preserve"> </w:t>
      </w:r>
      <w:r>
        <w:t>Україна,</w:t>
      </w:r>
      <w:r>
        <w:rPr>
          <w:spacing w:val="18"/>
        </w:rPr>
        <w:t xml:space="preserve"> </w:t>
      </w:r>
      <w:bookmarkStart w:id="0" w:name="_GoBack"/>
      <w:bookmarkEnd w:id="0"/>
      <w:r>
        <w:rPr>
          <w:spacing w:val="17"/>
        </w:rPr>
        <w:t xml:space="preserve"> </w:t>
      </w:r>
      <w:r>
        <w:t>Вінницька</w:t>
      </w:r>
      <w:r>
        <w:rPr>
          <w:spacing w:val="18"/>
        </w:rPr>
        <w:t xml:space="preserve"> </w:t>
      </w:r>
      <w:r>
        <w:t>область,</w:t>
      </w:r>
      <w:r>
        <w:rPr>
          <w:spacing w:val="17"/>
        </w:rPr>
        <w:t xml:space="preserve"> </w:t>
      </w:r>
      <w:r>
        <w:t>м.</w:t>
      </w:r>
      <w:r>
        <w:rPr>
          <w:spacing w:val="19"/>
        </w:rPr>
        <w:t xml:space="preserve"> </w:t>
      </w:r>
      <w:proofErr w:type="spellStart"/>
      <w:r w:rsidR="00A3103D">
        <w:t>Ладижин</w:t>
      </w:r>
      <w:proofErr w:type="spellEnd"/>
      <w:r>
        <w:t>,</w:t>
      </w:r>
      <w:r>
        <w:rPr>
          <w:spacing w:val="15"/>
        </w:rPr>
        <w:t xml:space="preserve"> </w:t>
      </w:r>
      <w:r>
        <w:t>вулиця</w:t>
      </w:r>
      <w:r>
        <w:rPr>
          <w:spacing w:val="19"/>
        </w:rPr>
        <w:t xml:space="preserve"> </w:t>
      </w:r>
      <w:r w:rsidR="00A3103D">
        <w:t>Петра Кравчика</w:t>
      </w:r>
      <w:r>
        <w:t>,</w:t>
      </w:r>
      <w:r w:rsidR="00A3103D">
        <w:t xml:space="preserve"> 5</w:t>
      </w:r>
      <w:r>
        <w:rPr>
          <w:spacing w:val="18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межі</w:t>
      </w:r>
      <w:r>
        <w:rPr>
          <w:spacing w:val="-3"/>
        </w:rPr>
        <w:t xml:space="preserve"> </w:t>
      </w:r>
      <w:r>
        <w:t>балансової</w:t>
      </w:r>
      <w:r>
        <w:rPr>
          <w:spacing w:val="1"/>
        </w:rPr>
        <w:t xml:space="preserve"> </w:t>
      </w:r>
      <w:r>
        <w:t>належності електроустановок Замовника.</w:t>
      </w:r>
    </w:p>
    <w:p w:rsidR="007F0F6E" w:rsidRDefault="00294CE6">
      <w:pPr>
        <w:pStyle w:val="a4"/>
        <w:numPr>
          <w:ilvl w:val="0"/>
          <w:numId w:val="2"/>
        </w:numPr>
        <w:tabs>
          <w:tab w:val="left" w:pos="616"/>
        </w:tabs>
        <w:ind w:left="116" w:right="375" w:firstLine="0"/>
        <w:rPr>
          <w:sz w:val="24"/>
        </w:rPr>
      </w:pPr>
      <w:r>
        <w:rPr>
          <w:sz w:val="24"/>
        </w:rPr>
        <w:t>Умови</w:t>
      </w:r>
      <w:r>
        <w:rPr>
          <w:spacing w:val="47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45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46"/>
          <w:sz w:val="24"/>
        </w:rPr>
        <w:t xml:space="preserve"> </w:t>
      </w:r>
      <w:r>
        <w:rPr>
          <w:sz w:val="24"/>
        </w:rPr>
        <w:t>енергії</w:t>
      </w:r>
      <w:r>
        <w:rPr>
          <w:spacing w:val="44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38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43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45"/>
          <w:sz w:val="24"/>
        </w:rPr>
        <w:t xml:space="preserve"> </w:t>
      </w:r>
      <w:r>
        <w:rPr>
          <w:sz w:val="24"/>
        </w:rPr>
        <w:t>наступним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нормативно-правовим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актам:</w:t>
      </w:r>
    </w:p>
    <w:p w:rsidR="007F0F6E" w:rsidRDefault="00294CE6">
      <w:pPr>
        <w:pStyle w:val="a4"/>
        <w:numPr>
          <w:ilvl w:val="0"/>
          <w:numId w:val="1"/>
        </w:numPr>
        <w:tabs>
          <w:tab w:val="left" w:pos="235"/>
        </w:tabs>
        <w:ind w:hanging="119"/>
        <w:rPr>
          <w:i/>
          <w:sz w:val="20"/>
        </w:rPr>
      </w:pPr>
      <w:r>
        <w:rPr>
          <w:i/>
          <w:sz w:val="20"/>
        </w:rPr>
        <w:t>Закон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України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«Про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ринок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електричної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енергії»;</w:t>
      </w:r>
    </w:p>
    <w:p w:rsidR="007F0F6E" w:rsidRDefault="00294CE6">
      <w:pPr>
        <w:pStyle w:val="a4"/>
        <w:numPr>
          <w:ilvl w:val="0"/>
          <w:numId w:val="1"/>
        </w:numPr>
        <w:tabs>
          <w:tab w:val="left" w:pos="235"/>
        </w:tabs>
        <w:ind w:hanging="119"/>
        <w:rPr>
          <w:i/>
          <w:sz w:val="20"/>
        </w:rPr>
      </w:pPr>
      <w:r>
        <w:rPr>
          <w:i/>
          <w:sz w:val="20"/>
        </w:rPr>
        <w:t>Правила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роздрібного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ринку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електричної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енергії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(затверджені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постановою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НКРЕКП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14.03.2018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№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312).</w:t>
      </w:r>
    </w:p>
    <w:p w:rsidR="007F0F6E" w:rsidRDefault="00294CE6">
      <w:pPr>
        <w:pStyle w:val="a4"/>
        <w:numPr>
          <w:ilvl w:val="0"/>
          <w:numId w:val="1"/>
        </w:numPr>
        <w:tabs>
          <w:tab w:val="left" w:pos="235"/>
        </w:tabs>
        <w:spacing w:line="229" w:lineRule="exact"/>
        <w:ind w:hanging="119"/>
        <w:rPr>
          <w:i/>
          <w:sz w:val="20"/>
        </w:rPr>
      </w:pPr>
      <w:r>
        <w:rPr>
          <w:i/>
          <w:sz w:val="20"/>
        </w:rPr>
        <w:t>інші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нормативно-правові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акти,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прийняті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виконання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Закону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України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«Про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ринок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електричної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енергії».</w:t>
      </w:r>
    </w:p>
    <w:p w:rsidR="007F0F6E" w:rsidRDefault="00294CE6">
      <w:pPr>
        <w:pStyle w:val="a4"/>
        <w:numPr>
          <w:ilvl w:val="0"/>
          <w:numId w:val="2"/>
        </w:numPr>
        <w:tabs>
          <w:tab w:val="left" w:pos="443"/>
        </w:tabs>
        <w:ind w:left="116" w:right="365" w:firstLine="0"/>
        <w:jc w:val="both"/>
      </w:pPr>
      <w:proofErr w:type="spellStart"/>
      <w:r>
        <w:t>Учасник-електропостачальник</w:t>
      </w:r>
      <w:proofErr w:type="spellEnd"/>
      <w:r>
        <w:rPr>
          <w:spacing w:val="-9"/>
        </w:rPr>
        <w:t xml:space="preserve"> </w:t>
      </w:r>
      <w:r>
        <w:t>забезпечує</w:t>
      </w:r>
      <w:r>
        <w:rPr>
          <w:spacing w:val="-10"/>
        </w:rPr>
        <w:t xml:space="preserve"> </w:t>
      </w:r>
      <w:r>
        <w:t>дотримання</w:t>
      </w:r>
      <w:r>
        <w:rPr>
          <w:spacing w:val="-10"/>
        </w:rPr>
        <w:t xml:space="preserve"> </w:t>
      </w:r>
      <w:r>
        <w:t>загальних</w:t>
      </w:r>
      <w:r>
        <w:rPr>
          <w:spacing w:val="-9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гарантованих</w:t>
      </w:r>
      <w:r>
        <w:rPr>
          <w:spacing w:val="-8"/>
        </w:rPr>
        <w:t xml:space="preserve"> </w:t>
      </w:r>
      <w:r>
        <w:t>стандартів</w:t>
      </w:r>
      <w:r>
        <w:rPr>
          <w:spacing w:val="-10"/>
        </w:rPr>
        <w:t xml:space="preserve"> </w:t>
      </w:r>
      <w:r>
        <w:t>якості</w:t>
      </w:r>
      <w:r>
        <w:rPr>
          <w:spacing w:val="-53"/>
        </w:rPr>
        <w:t xml:space="preserve"> </w:t>
      </w:r>
      <w:r>
        <w:t>надання послуг з електропостачання, в тому числі тих, що передбачені згідно Порядку забезпечення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електропостачання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компенсацій</w:t>
      </w:r>
      <w:r>
        <w:rPr>
          <w:spacing w:val="1"/>
        </w:rPr>
        <w:t xml:space="preserve"> </w:t>
      </w:r>
      <w:r>
        <w:t>споживачам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недотримання,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-4"/>
        </w:rPr>
        <w:t xml:space="preserve"> </w:t>
      </w:r>
      <w:r>
        <w:t>постановою</w:t>
      </w:r>
      <w:r>
        <w:rPr>
          <w:spacing w:val="-4"/>
        </w:rPr>
        <w:t xml:space="preserve"> </w:t>
      </w:r>
      <w:r>
        <w:t>НКРЕКП</w:t>
      </w:r>
      <w:r>
        <w:rPr>
          <w:spacing w:val="-6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12.06.2018</w:t>
      </w:r>
      <w:r>
        <w:rPr>
          <w:spacing w:val="-5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375,</w:t>
      </w:r>
      <w:r>
        <w:rPr>
          <w:spacing w:val="-5"/>
        </w:rPr>
        <w:t xml:space="preserve"> </w:t>
      </w:r>
      <w:r>
        <w:t>Закону</w:t>
      </w:r>
      <w:r>
        <w:rPr>
          <w:spacing w:val="-8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«Про</w:t>
      </w:r>
      <w:r>
        <w:rPr>
          <w:spacing w:val="-4"/>
        </w:rPr>
        <w:t xml:space="preserve"> </w:t>
      </w:r>
      <w:r>
        <w:t>ринок</w:t>
      </w:r>
      <w:r>
        <w:rPr>
          <w:spacing w:val="-4"/>
        </w:rPr>
        <w:t xml:space="preserve"> </w:t>
      </w:r>
      <w:r>
        <w:t>електричної</w:t>
      </w:r>
      <w:r>
        <w:rPr>
          <w:spacing w:val="-53"/>
        </w:rPr>
        <w:t xml:space="preserve"> </w:t>
      </w:r>
      <w:r>
        <w:t>енергії»,</w:t>
      </w:r>
      <w:r>
        <w:rPr>
          <w:spacing w:val="-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роздрібного</w:t>
      </w:r>
      <w:r>
        <w:rPr>
          <w:spacing w:val="-7"/>
        </w:rPr>
        <w:t xml:space="preserve"> </w:t>
      </w:r>
      <w:r>
        <w:t>ринку</w:t>
      </w:r>
      <w:r>
        <w:rPr>
          <w:spacing w:val="-10"/>
        </w:rPr>
        <w:t xml:space="preserve"> </w:t>
      </w:r>
      <w:r>
        <w:t>електричної</w:t>
      </w:r>
      <w:r>
        <w:rPr>
          <w:spacing w:val="-7"/>
        </w:rPr>
        <w:t xml:space="preserve"> </w:t>
      </w:r>
      <w:r>
        <w:t>енергії,</w:t>
      </w:r>
      <w:r>
        <w:rPr>
          <w:spacing w:val="-7"/>
        </w:rPr>
        <w:t xml:space="preserve"> </w:t>
      </w:r>
      <w:r>
        <w:t>інших</w:t>
      </w:r>
      <w:r>
        <w:rPr>
          <w:spacing w:val="-7"/>
        </w:rPr>
        <w:t xml:space="preserve"> </w:t>
      </w:r>
      <w:r>
        <w:t>нормативно-правових</w:t>
      </w:r>
      <w:r>
        <w:rPr>
          <w:spacing w:val="-8"/>
        </w:rPr>
        <w:t xml:space="preserve"> </w:t>
      </w:r>
      <w:r>
        <w:t>актів.</w:t>
      </w:r>
      <w:r>
        <w:rPr>
          <w:spacing w:val="-8"/>
        </w:rPr>
        <w:t xml:space="preserve"> </w:t>
      </w:r>
      <w:r>
        <w:t>Згідно</w:t>
      </w:r>
      <w:r>
        <w:rPr>
          <w:spacing w:val="-6"/>
        </w:rPr>
        <w:t xml:space="preserve"> </w:t>
      </w:r>
      <w:r>
        <w:t>ст.</w:t>
      </w:r>
      <w:r>
        <w:rPr>
          <w:spacing w:val="-53"/>
        </w:rPr>
        <w:t xml:space="preserve"> </w:t>
      </w:r>
      <w:r>
        <w:t>18 Закон України «Про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енергії» показники якості</w:t>
      </w:r>
      <w:r>
        <w:rPr>
          <w:spacing w:val="1"/>
        </w:rPr>
        <w:t xml:space="preserve"> </w:t>
      </w:r>
      <w:r>
        <w:t>електропостачання повинні</w:t>
      </w:r>
      <w:r>
        <w:rPr>
          <w:spacing w:val="1"/>
        </w:rPr>
        <w:t xml:space="preserve"> </w:t>
      </w:r>
      <w:r>
        <w:t>відповідати величинам, що затверджені Національною комісією, що здійснює державне регулювання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сферах енергетики та</w:t>
      </w:r>
      <w:r>
        <w:rPr>
          <w:spacing w:val="-2"/>
        </w:rPr>
        <w:t xml:space="preserve"> </w:t>
      </w:r>
      <w:r>
        <w:t>комунальних послуг.</w:t>
      </w:r>
    </w:p>
    <w:p w:rsidR="007F0F6E" w:rsidRDefault="00294CE6">
      <w:pPr>
        <w:pStyle w:val="a4"/>
        <w:numPr>
          <w:ilvl w:val="0"/>
          <w:numId w:val="2"/>
        </w:numPr>
        <w:tabs>
          <w:tab w:val="left" w:pos="537"/>
        </w:tabs>
        <w:ind w:left="116" w:right="368" w:firstLine="0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11.4.6</w:t>
      </w:r>
      <w:r>
        <w:rPr>
          <w:spacing w:val="1"/>
        </w:rPr>
        <w:t xml:space="preserve"> </w:t>
      </w:r>
      <w:r>
        <w:t>глави</w:t>
      </w:r>
      <w:r>
        <w:rPr>
          <w:spacing w:val="1"/>
        </w:rPr>
        <w:t xml:space="preserve"> </w:t>
      </w:r>
      <w:r>
        <w:t>11.4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розподілу,</w:t>
      </w:r>
      <w:r>
        <w:rPr>
          <w:spacing w:val="1"/>
        </w:rPr>
        <w:t xml:space="preserve"> </w:t>
      </w:r>
      <w:r>
        <w:t>затвердженого постановою НКРЕКП від 14.03.2018 № 310, параметри якості електричної енергії в</w:t>
      </w:r>
      <w:r>
        <w:rPr>
          <w:spacing w:val="1"/>
        </w:rPr>
        <w:t xml:space="preserve"> </w:t>
      </w:r>
      <w:r>
        <w:t>точках приєднання споживачів у нормальних умовах експлуатації мають відповідати параметрам,</w:t>
      </w:r>
      <w:r>
        <w:rPr>
          <w:spacing w:val="1"/>
        </w:rPr>
        <w:t xml:space="preserve"> </w:t>
      </w:r>
      <w:r>
        <w:t>визначеним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ДСТУ</w:t>
      </w:r>
      <w:r>
        <w:rPr>
          <w:spacing w:val="1"/>
        </w:rPr>
        <w:t xml:space="preserve"> </w:t>
      </w:r>
      <w:r>
        <w:t>EN 50160:2014</w:t>
      </w:r>
      <w:r>
        <w:rPr>
          <w:spacing w:val="1"/>
        </w:rPr>
        <w:t xml:space="preserve"> </w:t>
      </w:r>
      <w:r>
        <w:t>«Характеристики</w:t>
      </w:r>
      <w:r>
        <w:rPr>
          <w:spacing w:val="1"/>
        </w:rPr>
        <w:t xml:space="preserve"> </w:t>
      </w:r>
      <w:r>
        <w:t>напруги</w:t>
      </w:r>
      <w:r>
        <w:rPr>
          <w:spacing w:val="1"/>
        </w:rPr>
        <w:t xml:space="preserve"> </w:t>
      </w:r>
      <w:r>
        <w:t>електропостачання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електричних</w:t>
      </w:r>
      <w:r>
        <w:rPr>
          <w:spacing w:val="1"/>
        </w:rPr>
        <w:t xml:space="preserve"> </w:t>
      </w:r>
      <w:r>
        <w:t>мережах</w:t>
      </w:r>
      <w:r>
        <w:rPr>
          <w:spacing w:val="-1"/>
        </w:rPr>
        <w:t xml:space="preserve"> </w:t>
      </w:r>
      <w:r>
        <w:t>загального призначення».</w:t>
      </w:r>
    </w:p>
    <w:sectPr w:rsidR="007F0F6E">
      <w:type w:val="continuous"/>
      <w:pgSz w:w="11910" w:h="16840"/>
      <w:pgMar w:top="760" w:right="48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F4B"/>
    <w:multiLevelType w:val="hybridMultilevel"/>
    <w:tmpl w:val="BC582800"/>
    <w:lvl w:ilvl="0" w:tplc="163A1D42">
      <w:start w:val="1"/>
      <w:numFmt w:val="decimal"/>
      <w:lvlText w:val="%1."/>
      <w:lvlJc w:val="left"/>
      <w:pPr>
        <w:ind w:left="346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C88DBBA">
      <w:numFmt w:val="bullet"/>
      <w:lvlText w:val="•"/>
      <w:lvlJc w:val="left"/>
      <w:pPr>
        <w:ind w:left="1318" w:hanging="233"/>
      </w:pPr>
      <w:rPr>
        <w:rFonts w:hint="default"/>
        <w:lang w:val="uk-UA" w:eastAsia="en-US" w:bidi="ar-SA"/>
      </w:rPr>
    </w:lvl>
    <w:lvl w:ilvl="2" w:tplc="F3F811D8">
      <w:numFmt w:val="bullet"/>
      <w:lvlText w:val="•"/>
      <w:lvlJc w:val="left"/>
      <w:pPr>
        <w:ind w:left="2297" w:hanging="233"/>
      </w:pPr>
      <w:rPr>
        <w:rFonts w:hint="default"/>
        <w:lang w:val="uk-UA" w:eastAsia="en-US" w:bidi="ar-SA"/>
      </w:rPr>
    </w:lvl>
    <w:lvl w:ilvl="3" w:tplc="DD4E7690">
      <w:numFmt w:val="bullet"/>
      <w:lvlText w:val="•"/>
      <w:lvlJc w:val="left"/>
      <w:pPr>
        <w:ind w:left="3275" w:hanging="233"/>
      </w:pPr>
      <w:rPr>
        <w:rFonts w:hint="default"/>
        <w:lang w:val="uk-UA" w:eastAsia="en-US" w:bidi="ar-SA"/>
      </w:rPr>
    </w:lvl>
    <w:lvl w:ilvl="4" w:tplc="E05E20BA">
      <w:numFmt w:val="bullet"/>
      <w:lvlText w:val="•"/>
      <w:lvlJc w:val="left"/>
      <w:pPr>
        <w:ind w:left="4254" w:hanging="233"/>
      </w:pPr>
      <w:rPr>
        <w:rFonts w:hint="default"/>
        <w:lang w:val="uk-UA" w:eastAsia="en-US" w:bidi="ar-SA"/>
      </w:rPr>
    </w:lvl>
    <w:lvl w:ilvl="5" w:tplc="FBCC5AB0">
      <w:numFmt w:val="bullet"/>
      <w:lvlText w:val="•"/>
      <w:lvlJc w:val="left"/>
      <w:pPr>
        <w:ind w:left="5233" w:hanging="233"/>
      </w:pPr>
      <w:rPr>
        <w:rFonts w:hint="default"/>
        <w:lang w:val="uk-UA" w:eastAsia="en-US" w:bidi="ar-SA"/>
      </w:rPr>
    </w:lvl>
    <w:lvl w:ilvl="6" w:tplc="8890673C">
      <w:numFmt w:val="bullet"/>
      <w:lvlText w:val="•"/>
      <w:lvlJc w:val="left"/>
      <w:pPr>
        <w:ind w:left="6211" w:hanging="233"/>
      </w:pPr>
      <w:rPr>
        <w:rFonts w:hint="default"/>
        <w:lang w:val="uk-UA" w:eastAsia="en-US" w:bidi="ar-SA"/>
      </w:rPr>
    </w:lvl>
    <w:lvl w:ilvl="7" w:tplc="E62E29B0">
      <w:numFmt w:val="bullet"/>
      <w:lvlText w:val="•"/>
      <w:lvlJc w:val="left"/>
      <w:pPr>
        <w:ind w:left="7190" w:hanging="233"/>
      </w:pPr>
      <w:rPr>
        <w:rFonts w:hint="default"/>
        <w:lang w:val="uk-UA" w:eastAsia="en-US" w:bidi="ar-SA"/>
      </w:rPr>
    </w:lvl>
    <w:lvl w:ilvl="8" w:tplc="C666F53A">
      <w:numFmt w:val="bullet"/>
      <w:lvlText w:val="•"/>
      <w:lvlJc w:val="left"/>
      <w:pPr>
        <w:ind w:left="8169" w:hanging="233"/>
      </w:pPr>
      <w:rPr>
        <w:rFonts w:hint="default"/>
        <w:lang w:val="uk-UA" w:eastAsia="en-US" w:bidi="ar-SA"/>
      </w:rPr>
    </w:lvl>
  </w:abstractNum>
  <w:abstractNum w:abstractNumId="1">
    <w:nsid w:val="288949CE"/>
    <w:multiLevelType w:val="hybridMultilevel"/>
    <w:tmpl w:val="32B22956"/>
    <w:lvl w:ilvl="0" w:tplc="25DE1C60">
      <w:numFmt w:val="bullet"/>
      <w:lvlText w:val="-"/>
      <w:lvlJc w:val="left"/>
      <w:pPr>
        <w:ind w:left="234" w:hanging="11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uk-UA" w:eastAsia="en-US" w:bidi="ar-SA"/>
      </w:rPr>
    </w:lvl>
    <w:lvl w:ilvl="1" w:tplc="FB56B548">
      <w:numFmt w:val="bullet"/>
      <w:lvlText w:val="•"/>
      <w:lvlJc w:val="left"/>
      <w:pPr>
        <w:ind w:left="1228" w:hanging="118"/>
      </w:pPr>
      <w:rPr>
        <w:rFonts w:hint="default"/>
        <w:lang w:val="uk-UA" w:eastAsia="en-US" w:bidi="ar-SA"/>
      </w:rPr>
    </w:lvl>
    <w:lvl w:ilvl="2" w:tplc="2F7CEFC0">
      <w:numFmt w:val="bullet"/>
      <w:lvlText w:val="•"/>
      <w:lvlJc w:val="left"/>
      <w:pPr>
        <w:ind w:left="2217" w:hanging="118"/>
      </w:pPr>
      <w:rPr>
        <w:rFonts w:hint="default"/>
        <w:lang w:val="uk-UA" w:eastAsia="en-US" w:bidi="ar-SA"/>
      </w:rPr>
    </w:lvl>
    <w:lvl w:ilvl="3" w:tplc="4D58BD08">
      <w:numFmt w:val="bullet"/>
      <w:lvlText w:val="•"/>
      <w:lvlJc w:val="left"/>
      <w:pPr>
        <w:ind w:left="3205" w:hanging="118"/>
      </w:pPr>
      <w:rPr>
        <w:rFonts w:hint="default"/>
        <w:lang w:val="uk-UA" w:eastAsia="en-US" w:bidi="ar-SA"/>
      </w:rPr>
    </w:lvl>
    <w:lvl w:ilvl="4" w:tplc="6AF0EDEE">
      <w:numFmt w:val="bullet"/>
      <w:lvlText w:val="•"/>
      <w:lvlJc w:val="left"/>
      <w:pPr>
        <w:ind w:left="4194" w:hanging="118"/>
      </w:pPr>
      <w:rPr>
        <w:rFonts w:hint="default"/>
        <w:lang w:val="uk-UA" w:eastAsia="en-US" w:bidi="ar-SA"/>
      </w:rPr>
    </w:lvl>
    <w:lvl w:ilvl="5" w:tplc="724EB93E">
      <w:numFmt w:val="bullet"/>
      <w:lvlText w:val="•"/>
      <w:lvlJc w:val="left"/>
      <w:pPr>
        <w:ind w:left="5183" w:hanging="118"/>
      </w:pPr>
      <w:rPr>
        <w:rFonts w:hint="default"/>
        <w:lang w:val="uk-UA" w:eastAsia="en-US" w:bidi="ar-SA"/>
      </w:rPr>
    </w:lvl>
    <w:lvl w:ilvl="6" w:tplc="0BCA9CCC">
      <w:numFmt w:val="bullet"/>
      <w:lvlText w:val="•"/>
      <w:lvlJc w:val="left"/>
      <w:pPr>
        <w:ind w:left="6171" w:hanging="118"/>
      </w:pPr>
      <w:rPr>
        <w:rFonts w:hint="default"/>
        <w:lang w:val="uk-UA" w:eastAsia="en-US" w:bidi="ar-SA"/>
      </w:rPr>
    </w:lvl>
    <w:lvl w:ilvl="7" w:tplc="E47C0040">
      <w:numFmt w:val="bullet"/>
      <w:lvlText w:val="•"/>
      <w:lvlJc w:val="left"/>
      <w:pPr>
        <w:ind w:left="7160" w:hanging="118"/>
      </w:pPr>
      <w:rPr>
        <w:rFonts w:hint="default"/>
        <w:lang w:val="uk-UA" w:eastAsia="en-US" w:bidi="ar-SA"/>
      </w:rPr>
    </w:lvl>
    <w:lvl w:ilvl="8" w:tplc="F59AD60A">
      <w:numFmt w:val="bullet"/>
      <w:lvlText w:val="•"/>
      <w:lvlJc w:val="left"/>
      <w:pPr>
        <w:ind w:left="8149" w:hanging="118"/>
      </w:pPr>
      <w:rPr>
        <w:rFonts w:hint="default"/>
        <w:lang w:val="uk-UA" w:eastAsia="en-US" w:bidi="ar-SA"/>
      </w:rPr>
    </w:lvl>
  </w:abstractNum>
  <w:abstractNum w:abstractNumId="2">
    <w:nsid w:val="664B10F9"/>
    <w:multiLevelType w:val="hybridMultilevel"/>
    <w:tmpl w:val="AC96857E"/>
    <w:lvl w:ilvl="0" w:tplc="CF86DA10">
      <w:start w:val="8"/>
      <w:numFmt w:val="decimal"/>
      <w:lvlText w:val="%1."/>
      <w:lvlJc w:val="left"/>
      <w:pPr>
        <w:ind w:left="337" w:hanging="221"/>
        <w:jc w:val="left"/>
      </w:pPr>
      <w:rPr>
        <w:rFonts w:hint="default"/>
        <w:w w:val="100"/>
        <w:lang w:val="uk-UA" w:eastAsia="en-US" w:bidi="ar-SA"/>
      </w:rPr>
    </w:lvl>
    <w:lvl w:ilvl="1" w:tplc="325EA7D6">
      <w:numFmt w:val="bullet"/>
      <w:lvlText w:val="•"/>
      <w:lvlJc w:val="left"/>
      <w:pPr>
        <w:ind w:left="1318" w:hanging="221"/>
      </w:pPr>
      <w:rPr>
        <w:rFonts w:hint="default"/>
        <w:lang w:val="uk-UA" w:eastAsia="en-US" w:bidi="ar-SA"/>
      </w:rPr>
    </w:lvl>
    <w:lvl w:ilvl="2" w:tplc="41720B38">
      <w:numFmt w:val="bullet"/>
      <w:lvlText w:val="•"/>
      <w:lvlJc w:val="left"/>
      <w:pPr>
        <w:ind w:left="2297" w:hanging="221"/>
      </w:pPr>
      <w:rPr>
        <w:rFonts w:hint="default"/>
        <w:lang w:val="uk-UA" w:eastAsia="en-US" w:bidi="ar-SA"/>
      </w:rPr>
    </w:lvl>
    <w:lvl w:ilvl="3" w:tplc="D08AFAA6">
      <w:numFmt w:val="bullet"/>
      <w:lvlText w:val="•"/>
      <w:lvlJc w:val="left"/>
      <w:pPr>
        <w:ind w:left="3275" w:hanging="221"/>
      </w:pPr>
      <w:rPr>
        <w:rFonts w:hint="default"/>
        <w:lang w:val="uk-UA" w:eastAsia="en-US" w:bidi="ar-SA"/>
      </w:rPr>
    </w:lvl>
    <w:lvl w:ilvl="4" w:tplc="6E48379A">
      <w:numFmt w:val="bullet"/>
      <w:lvlText w:val="•"/>
      <w:lvlJc w:val="left"/>
      <w:pPr>
        <w:ind w:left="4254" w:hanging="221"/>
      </w:pPr>
      <w:rPr>
        <w:rFonts w:hint="default"/>
        <w:lang w:val="uk-UA" w:eastAsia="en-US" w:bidi="ar-SA"/>
      </w:rPr>
    </w:lvl>
    <w:lvl w:ilvl="5" w:tplc="9A680820">
      <w:numFmt w:val="bullet"/>
      <w:lvlText w:val="•"/>
      <w:lvlJc w:val="left"/>
      <w:pPr>
        <w:ind w:left="5233" w:hanging="221"/>
      </w:pPr>
      <w:rPr>
        <w:rFonts w:hint="default"/>
        <w:lang w:val="uk-UA" w:eastAsia="en-US" w:bidi="ar-SA"/>
      </w:rPr>
    </w:lvl>
    <w:lvl w:ilvl="6" w:tplc="2A648980">
      <w:numFmt w:val="bullet"/>
      <w:lvlText w:val="•"/>
      <w:lvlJc w:val="left"/>
      <w:pPr>
        <w:ind w:left="6211" w:hanging="221"/>
      </w:pPr>
      <w:rPr>
        <w:rFonts w:hint="default"/>
        <w:lang w:val="uk-UA" w:eastAsia="en-US" w:bidi="ar-SA"/>
      </w:rPr>
    </w:lvl>
    <w:lvl w:ilvl="7" w:tplc="7286FEA8">
      <w:numFmt w:val="bullet"/>
      <w:lvlText w:val="•"/>
      <w:lvlJc w:val="left"/>
      <w:pPr>
        <w:ind w:left="7190" w:hanging="221"/>
      </w:pPr>
      <w:rPr>
        <w:rFonts w:hint="default"/>
        <w:lang w:val="uk-UA" w:eastAsia="en-US" w:bidi="ar-SA"/>
      </w:rPr>
    </w:lvl>
    <w:lvl w:ilvl="8" w:tplc="00423816">
      <w:numFmt w:val="bullet"/>
      <w:lvlText w:val="•"/>
      <w:lvlJc w:val="left"/>
      <w:pPr>
        <w:ind w:left="8169" w:hanging="22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0F6E"/>
    <w:rsid w:val="00294CE6"/>
    <w:rsid w:val="004144E1"/>
    <w:rsid w:val="007550B0"/>
    <w:rsid w:val="007F0F6E"/>
    <w:rsid w:val="00A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679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</w:style>
  <w:style w:type="paragraph" w:styleId="a4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  <w:pPr>
      <w:ind w:left="2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679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</w:style>
  <w:style w:type="paragraph" w:styleId="a4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  <w:pPr>
      <w:ind w:left="2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2414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admin</dc:creator>
  <cp:lastModifiedBy>st4</cp:lastModifiedBy>
  <cp:revision>3</cp:revision>
  <dcterms:created xsi:type="dcterms:W3CDTF">2023-02-02T14:43:00Z</dcterms:created>
  <dcterms:modified xsi:type="dcterms:W3CDTF">2023-02-09T13:26:00Z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