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E74" w:rsidRDefault="00CB3E74" w:rsidP="00CB3E74">
      <w:pPr>
        <w:spacing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ДОДАТОК № 2</w:t>
      </w:r>
    </w:p>
    <w:p w:rsidR="000E4B9F" w:rsidRDefault="000E4B9F" w:rsidP="00CB3E74">
      <w:pPr>
        <w:spacing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до тендерної документації</w:t>
      </w:r>
    </w:p>
    <w:p w:rsidR="00CB3E74" w:rsidRDefault="00CB3E74">
      <w:pPr>
        <w:jc w:val="center"/>
        <w:rPr>
          <w:rFonts w:ascii="Times New Roman" w:eastAsia="Times New Roman" w:hAnsi="Times New Roman" w:cs="Times New Roman"/>
          <w:b/>
          <w:sz w:val="24"/>
          <w:szCs w:val="24"/>
        </w:rPr>
      </w:pPr>
    </w:p>
    <w:p w:rsidR="00C3261D" w:rsidRDefault="00B755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ТЕХНІЧНЕ ЗАВДАННЯ</w:t>
      </w:r>
    </w:p>
    <w:p w:rsidR="00C3261D" w:rsidRDefault="00B755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щодо закупівлі</w:t>
      </w:r>
    </w:p>
    <w:p w:rsidR="00DE2996" w:rsidRDefault="0095692B" w:rsidP="0095692B">
      <w:pPr>
        <w:spacing w:line="240" w:lineRule="auto"/>
        <w:jc w:val="center"/>
        <w:rPr>
          <w:rFonts w:ascii="Times New Roman" w:eastAsia="Times New Roman" w:hAnsi="Times New Roman" w:cs="Times New Roman"/>
          <w:b/>
          <w:sz w:val="24"/>
          <w:szCs w:val="24"/>
        </w:rPr>
      </w:pPr>
      <w:bookmarkStart w:id="0" w:name="_heading=h.gvl3w9izxisd" w:colFirst="0" w:colLast="0"/>
      <w:bookmarkStart w:id="1" w:name="_heading=h.gjdgxs" w:colFirst="0" w:colLast="0"/>
      <w:bookmarkEnd w:id="0"/>
      <w:bookmarkEnd w:id="1"/>
      <w:r>
        <w:rPr>
          <w:rFonts w:ascii="Times New Roman" w:eastAsia="Times New Roman" w:hAnsi="Times New Roman" w:cs="Times New Roman"/>
          <w:b/>
          <w:i/>
          <w:sz w:val="24"/>
          <w:szCs w:val="24"/>
        </w:rPr>
        <w:t xml:space="preserve">  </w:t>
      </w:r>
      <w:bookmarkStart w:id="2" w:name="_GoBack"/>
      <w:bookmarkEnd w:id="2"/>
    </w:p>
    <w:p w:rsidR="00C3261D" w:rsidRDefault="00B755BF">
      <w:pPr>
        <w:pBdr>
          <w:top w:val="nil"/>
          <w:left w:val="nil"/>
          <w:bottom w:val="nil"/>
          <w:right w:val="nil"/>
          <w:between w:val="nil"/>
        </w:pBdr>
        <w:tabs>
          <w:tab w:val="left" w:pos="28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ЗАГАЛЬНІ ВИМОГИ</w:t>
      </w:r>
    </w:p>
    <w:p w:rsidR="00C3261D" w:rsidRDefault="00B755BF">
      <w:pPr>
        <w:numPr>
          <w:ilvl w:val="0"/>
          <w:numId w:val="6"/>
        </w:numPr>
        <w:pBdr>
          <w:top w:val="nil"/>
          <w:left w:val="nil"/>
          <w:bottom w:val="nil"/>
          <w:right w:val="nil"/>
          <w:between w:val="nil"/>
        </w:pBdr>
        <w:spacing w:after="12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Технічне завдання визначає запланований обсяг послуг та їх </w:t>
      </w:r>
      <w:r>
        <w:rPr>
          <w:rFonts w:ascii="Times New Roman" w:eastAsia="Times New Roman" w:hAnsi="Times New Roman" w:cs="Times New Roman"/>
          <w:color w:val="000000"/>
          <w:sz w:val="24"/>
          <w:szCs w:val="24"/>
        </w:rPr>
        <w:t xml:space="preserve">важливі характеристики, що є обов'язковими для дотримання переможцем торгів. Повне та своєчасне виконання всіх викладених нижче вимог до послуг із організації та забезпечення проведення </w:t>
      </w:r>
      <w:r>
        <w:rPr>
          <w:rFonts w:ascii="Times New Roman" w:eastAsia="Times New Roman" w:hAnsi="Times New Roman" w:cs="Times New Roman"/>
          <w:color w:val="000000"/>
          <w:sz w:val="24"/>
          <w:szCs w:val="24"/>
          <w:highlight w:val="white"/>
        </w:rPr>
        <w:t>заходів (далі – послуги, захід)</w:t>
      </w:r>
      <w:r>
        <w:rPr>
          <w:rFonts w:ascii="Times New Roman" w:eastAsia="Times New Roman" w:hAnsi="Times New Roman" w:cs="Times New Roman"/>
          <w:color w:val="000000"/>
          <w:sz w:val="24"/>
          <w:szCs w:val="24"/>
        </w:rPr>
        <w:t xml:space="preserve"> є відповідальністю Виконавця і контролюється Замовником.</w:t>
      </w:r>
    </w:p>
    <w:p w:rsidR="00C3261D" w:rsidRDefault="00B755BF">
      <w:pPr>
        <w:numPr>
          <w:ilvl w:val="0"/>
          <w:numId w:val="6"/>
        </w:numPr>
        <w:pBdr>
          <w:top w:val="nil"/>
          <w:left w:val="nil"/>
          <w:bottom w:val="nil"/>
          <w:right w:val="nil"/>
          <w:between w:val="nil"/>
        </w:pBdr>
        <w:spacing w:after="12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зобов'язаний надавати послуги, які є предметом закупівлі цих торгів, за цінами, які не перевищують ціни, вказані ним у тендерній пропозиції, протягом всього терміну дії договору. Підвищення цін не припускається. </w:t>
      </w:r>
    </w:p>
    <w:p w:rsidR="00C3261D" w:rsidRDefault="00B755BF">
      <w:pPr>
        <w:numPr>
          <w:ilvl w:val="0"/>
          <w:numId w:val="6"/>
        </w:numPr>
        <w:pBdr>
          <w:top w:val="nil"/>
          <w:left w:val="nil"/>
          <w:bottom w:val="nil"/>
          <w:right w:val="nil"/>
          <w:between w:val="nil"/>
        </w:pBdr>
        <w:spacing w:after="12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Виконавець забезпечує постійний супровід підготовки та проведення заходу своїм представником протягом всього терміну його проведення відповідно до програми заходу та дотримуючись вимог Замовника.</w:t>
      </w:r>
    </w:p>
    <w:p w:rsidR="00C3261D" w:rsidRDefault="00B755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ТЕХНІЧНІ ВИМОГИ</w:t>
      </w:r>
    </w:p>
    <w:p w:rsidR="00C3261D" w:rsidRDefault="00B755BF">
      <w:pPr>
        <w:numPr>
          <w:ilvl w:val="0"/>
          <w:numId w:val="1"/>
        </w:numPr>
        <w:pBdr>
          <w:top w:val="nil"/>
          <w:left w:val="nil"/>
          <w:bottom w:val="nil"/>
          <w:right w:val="nil"/>
          <w:between w:val="nil"/>
        </w:pBdr>
        <w:tabs>
          <w:tab w:val="left" w:pos="1134"/>
        </w:tabs>
        <w:spacing w:line="240" w:lineRule="auto"/>
        <w:ind w:left="142"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Обов'язки Виконавця під час проведення кожного заходу:</w:t>
      </w:r>
    </w:p>
    <w:p w:rsidR="00C3261D" w:rsidRDefault="00B755BF">
      <w:pPr>
        <w:numPr>
          <w:ilvl w:val="1"/>
          <w:numId w:val="1"/>
        </w:numPr>
        <w:pBdr>
          <w:top w:val="nil"/>
          <w:left w:val="nil"/>
          <w:bottom w:val="nil"/>
          <w:right w:val="nil"/>
          <w:between w:val="nil"/>
        </w:pBdr>
        <w:tabs>
          <w:tab w:val="left" w:pos="1276"/>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час надання послуг із організації та забезпечення проведення  заходів Виконавець повинен надавати такі адміністративні послуги:</w:t>
      </w:r>
    </w:p>
    <w:p w:rsidR="00C3261D" w:rsidRDefault="00B755BF">
      <w:pPr>
        <w:numPr>
          <w:ilvl w:val="0"/>
          <w:numId w:val="2"/>
        </w:numP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участь учасників заходу, провести їх реєстрацію (погоджується з Замовником), заповненні реєстраційні форми передати Замовнику (щонайменше 2 особи від Виконавця мають проводити реєстрацію учасників заходу);</w:t>
      </w:r>
    </w:p>
    <w:p w:rsidR="00C3261D" w:rsidRDefault="00B755BF">
      <w:pPr>
        <w:numPr>
          <w:ilvl w:val="0"/>
          <w:numId w:val="2"/>
        </w:numP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проведення інформаційної кампанії перед заходом (реклама в соціальних мережах, сюжети на радіо/телебаченні, реклама на веб-сайтах);</w:t>
      </w:r>
    </w:p>
    <w:p w:rsidR="00C3261D" w:rsidRDefault="00B755BF">
      <w:pPr>
        <w:numPr>
          <w:ilvl w:val="0"/>
          <w:numId w:val="2"/>
        </w:numP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2 спікерів для публічного заходу, кваліфікованих експертів з відповідної тематики;</w:t>
      </w:r>
    </w:p>
    <w:p w:rsidR="00C3261D" w:rsidRDefault="00B755BF">
      <w:pPr>
        <w:numPr>
          <w:ilvl w:val="0"/>
          <w:numId w:val="2"/>
        </w:numP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розробку контенту з відповідної тематики для промоцій них матеріалів;</w:t>
      </w:r>
    </w:p>
    <w:p w:rsidR="00C3261D" w:rsidRDefault="00B755BF">
      <w:pPr>
        <w:numPr>
          <w:ilvl w:val="0"/>
          <w:numId w:val="2"/>
        </w:numP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спікерів іменними табличками у президії;</w:t>
      </w:r>
    </w:p>
    <w:p w:rsidR="00C3261D" w:rsidRDefault="00B755BF">
      <w:pPr>
        <w:numPr>
          <w:ilvl w:val="0"/>
          <w:numId w:val="2"/>
        </w:numP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підготовку конференц-зали до проведення заходу, розстановку стільців/столів та іншого обладнання (погоджується з представником Замовника);</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забезпечити підключення та налаштування обладнання, вся техніка повинна бути підключена та налаштована для роботи до початку заходу;</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забезпечити розташування обладнання та техніки відповідно до вимог Замовника;</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відповідальну особу за підключення техніки та трансляцію слайдів під час презентацій учасників.</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при необхідності, забезпечити можливість підключення та виступу частини спікерів через конференц-зв'язок та здійснити </w:t>
      </w:r>
      <w:proofErr w:type="spellStart"/>
      <w:r>
        <w:rPr>
          <w:rFonts w:ascii="Times New Roman" w:eastAsia="Times New Roman" w:hAnsi="Times New Roman" w:cs="Times New Roman"/>
          <w:color w:val="000000"/>
          <w:sz w:val="24"/>
          <w:szCs w:val="24"/>
        </w:rPr>
        <w:t>модерування</w:t>
      </w:r>
      <w:proofErr w:type="spellEnd"/>
      <w:r>
        <w:rPr>
          <w:rFonts w:ascii="Times New Roman" w:eastAsia="Times New Roman" w:hAnsi="Times New Roman" w:cs="Times New Roman"/>
          <w:color w:val="000000"/>
          <w:sz w:val="24"/>
          <w:szCs w:val="24"/>
        </w:rPr>
        <w:t>;</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запросити представників ЗМІ для висвітлення заходу на телеканалах, інтернет-порталах, ЗМІ, соціальних мережах тощо.</w:t>
      </w:r>
    </w:p>
    <w:p w:rsidR="00C3261D" w:rsidRDefault="00C3261D">
      <w:pPr>
        <w:pBdr>
          <w:top w:val="nil"/>
          <w:left w:val="nil"/>
          <w:bottom w:val="nil"/>
          <w:right w:val="nil"/>
          <w:between w:val="nil"/>
        </w:pBdr>
        <w:tabs>
          <w:tab w:val="left" w:pos="993"/>
        </w:tabs>
        <w:spacing w:line="240" w:lineRule="auto"/>
        <w:ind w:left="142"/>
        <w:jc w:val="both"/>
        <w:rPr>
          <w:rFonts w:ascii="Times New Roman" w:eastAsia="Times New Roman" w:hAnsi="Times New Roman" w:cs="Times New Roman"/>
          <w:sz w:val="24"/>
          <w:szCs w:val="24"/>
        </w:rPr>
      </w:pP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оперативної перестановки стільців в конференц-залі для зміни розсадки учасників за потреби Замовника; </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доставити необхідну кількість стільців за необхідністю;</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забезпечити дотримання тимчасових рекомендацій щодо організації протиепідемічних заходів при наданні послуг в умовах карантину;</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організувати місця для дезінфекції рук учасниками на реєстрації та в залі;</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забезпечити учасників засобами індивідуального захисту підчас проведення заходу з врахуванням рекомендацій МОЗ;</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забезпечити контроль за провітрюванням приміщення;</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Виконавець повинен забезпечити не менше 2-х відповідальних осіб для здійснення контролю за належним та вчасним виконанням замовлених послуг.</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представники Виконавця повинні обов’язково прибути на місце проведення заходу заздалегідь до його початку, пересвідчитися та перевірити усі замовлені послуги, бути постійно на місці під час заходу, до його офіційного завершення та виконання всіх замовлених послуг.</w:t>
      </w:r>
    </w:p>
    <w:p w:rsidR="00C3261D" w:rsidRDefault="00B755BF">
      <w:pPr>
        <w:numPr>
          <w:ilvl w:val="0"/>
          <w:numId w:val="2"/>
        </w:numPr>
        <w:pBdr>
          <w:top w:val="nil"/>
          <w:left w:val="nil"/>
          <w:bottom w:val="nil"/>
          <w:right w:val="nil"/>
          <w:between w:val="nil"/>
        </w:pBdr>
        <w:tabs>
          <w:tab w:val="left" w:pos="993"/>
        </w:tabs>
        <w:spacing w:line="240" w:lineRule="auto"/>
        <w:ind w:left="14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забезпечити виконання інших можливих послуг чи товарів під час організації заходу визначених Замовником.</w:t>
      </w:r>
    </w:p>
    <w:p w:rsidR="00C3261D" w:rsidRDefault="00C3261D">
      <w:pPr>
        <w:rPr>
          <w:rFonts w:ascii="Times New Roman" w:eastAsia="Times New Roman" w:hAnsi="Times New Roman" w:cs="Times New Roman"/>
          <w:sz w:val="24"/>
          <w:szCs w:val="24"/>
        </w:rPr>
      </w:pPr>
    </w:p>
    <w:p w:rsidR="00C3261D" w:rsidRDefault="00B755BF">
      <w:pPr>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Деталізація/калькуляція надання послуги для проведення одного заходу</w:t>
      </w:r>
    </w:p>
    <w:p w:rsidR="00C3261D" w:rsidRDefault="00B755BF">
      <w:p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послуг: 1</w:t>
      </w:r>
    </w:p>
    <w:p w:rsidR="00C3261D" w:rsidRDefault="00B755B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Дата надання послуги: </w:t>
      </w:r>
      <w:r>
        <w:rPr>
          <w:rFonts w:ascii="Times New Roman" w:eastAsia="Times New Roman" w:hAnsi="Times New Roman" w:cs="Times New Roman"/>
          <w:sz w:val="24"/>
          <w:szCs w:val="24"/>
          <w:highlight w:val="white"/>
        </w:rPr>
        <w:t>жовтень-грудень 2022 року (точна дата надання послуги уточняється з Замовником)</w:t>
      </w:r>
    </w:p>
    <w:p w:rsidR="00C3261D" w:rsidRDefault="00B755BF">
      <w:p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днів оренди конференц-залу та обладнання – 1 день – Верховина, 1 день – Великий Бичків</w:t>
      </w:r>
      <w:r w:rsidR="00E219E4">
        <w:rPr>
          <w:rFonts w:ascii="Times New Roman" w:eastAsia="Times New Roman" w:hAnsi="Times New Roman" w:cs="Times New Roman"/>
          <w:sz w:val="24"/>
          <w:szCs w:val="24"/>
        </w:rPr>
        <w:t xml:space="preserve">       </w:t>
      </w:r>
    </w:p>
    <w:p w:rsidR="00C3261D" w:rsidRDefault="00B755BF">
      <w:p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учасників –  150 осіб у Верховині, 150 учасників у Великому Бичкові.</w:t>
      </w:r>
    </w:p>
    <w:p w:rsidR="00C3261D" w:rsidRDefault="00B755B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Деталізація послуги </w:t>
      </w:r>
    </w:p>
    <w:tbl>
      <w:tblPr>
        <w:tblStyle w:val="ac"/>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2"/>
        <w:gridCol w:w="5386"/>
      </w:tblGrid>
      <w:tr w:rsidR="00C3261D">
        <w:trPr>
          <w:trHeight w:val="313"/>
        </w:trPr>
        <w:tc>
          <w:tcPr>
            <w:tcW w:w="4282" w:type="dxa"/>
            <w:tcBorders>
              <w:top w:val="single" w:sz="4" w:space="0" w:color="000000"/>
              <w:left w:val="single" w:sz="4" w:space="0" w:color="000000"/>
              <w:bottom w:val="single" w:sz="4" w:space="0" w:color="000000"/>
              <w:right w:val="single" w:sz="4" w:space="0" w:color="000000"/>
            </w:tcBorders>
            <w:shd w:val="clear" w:color="auto" w:fill="FFFF00"/>
          </w:tcPr>
          <w:p w:rsidR="00C3261D" w:rsidRDefault="00B755B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організації публічного заходу</w:t>
            </w:r>
          </w:p>
        </w:tc>
        <w:tc>
          <w:tcPr>
            <w:tcW w:w="5386" w:type="dxa"/>
            <w:tcBorders>
              <w:top w:val="single" w:sz="4" w:space="0" w:color="000000"/>
              <w:left w:val="single" w:sz="4" w:space="0" w:color="000000"/>
              <w:bottom w:val="single" w:sz="4" w:space="0" w:color="000000"/>
              <w:right w:val="single" w:sz="4" w:space="0" w:color="000000"/>
            </w:tcBorders>
            <w:shd w:val="clear" w:color="auto" w:fill="FFFF00"/>
          </w:tcPr>
          <w:p w:rsidR="00C3261D" w:rsidRDefault="00C3261D">
            <w:pPr>
              <w:jc w:val="both"/>
              <w:rPr>
                <w:rFonts w:ascii="Times New Roman" w:eastAsia="Times New Roman" w:hAnsi="Times New Roman" w:cs="Times New Roman"/>
                <w:sz w:val="24"/>
                <w:szCs w:val="24"/>
              </w:rPr>
            </w:pPr>
          </w:p>
        </w:tc>
      </w:tr>
      <w:tr w:rsidR="00C3261D">
        <w:tc>
          <w:tcPr>
            <w:tcW w:w="4282" w:type="dxa"/>
            <w:tcBorders>
              <w:top w:val="single" w:sz="4" w:space="0" w:color="000000"/>
              <w:left w:val="single" w:sz="4" w:space="0" w:color="000000"/>
              <w:bottom w:val="single" w:sz="4" w:space="0" w:color="000000"/>
              <w:right w:val="single" w:sz="4" w:space="0" w:color="000000"/>
            </w:tcBorders>
            <w:shd w:val="clear" w:color="auto" w:fill="A6A6A6"/>
          </w:tcPr>
          <w:p w:rsidR="00C3261D" w:rsidRDefault="00B755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Розробка контенту для </w:t>
            </w:r>
            <w:proofErr w:type="spellStart"/>
            <w:r>
              <w:rPr>
                <w:rFonts w:ascii="Times New Roman" w:eastAsia="Times New Roman" w:hAnsi="Times New Roman" w:cs="Times New Roman"/>
                <w:b/>
                <w:sz w:val="24"/>
                <w:szCs w:val="24"/>
              </w:rPr>
              <w:t>промоційних</w:t>
            </w:r>
            <w:proofErr w:type="spellEnd"/>
            <w:r>
              <w:rPr>
                <w:rFonts w:ascii="Times New Roman" w:eastAsia="Times New Roman" w:hAnsi="Times New Roman" w:cs="Times New Roman"/>
                <w:b/>
                <w:sz w:val="24"/>
                <w:szCs w:val="24"/>
              </w:rPr>
              <w:t xml:space="preserve">  матеріалів</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C3261D" w:rsidRDefault="00B755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 контенту для наступних промоцій них матеріалів:</w:t>
            </w:r>
          </w:p>
          <w:p w:rsidR="00C3261D" w:rsidRDefault="00B755BF">
            <w:pPr>
              <w:numPr>
                <w:ilvl w:val="0"/>
                <w:numId w:val="3"/>
              </w:numPr>
              <w:pBdr>
                <w:top w:val="nil"/>
                <w:left w:val="nil"/>
                <w:bottom w:val="nil"/>
                <w:right w:val="nil"/>
                <w:between w:val="nil"/>
              </w:pBdr>
              <w:spacing w:line="240" w:lineRule="auto"/>
              <w:jc w:val="both"/>
            </w:pPr>
            <w:proofErr w:type="spellStart"/>
            <w:r>
              <w:rPr>
                <w:rFonts w:ascii="Times New Roman" w:eastAsia="Times New Roman" w:hAnsi="Times New Roman" w:cs="Times New Roman"/>
                <w:color w:val="000000"/>
                <w:sz w:val="24"/>
                <w:szCs w:val="24"/>
              </w:rPr>
              <w:t>Флаєри</w:t>
            </w:r>
            <w:proofErr w:type="spellEnd"/>
            <w:r>
              <w:rPr>
                <w:rFonts w:ascii="Times New Roman" w:eastAsia="Times New Roman" w:hAnsi="Times New Roman" w:cs="Times New Roman"/>
                <w:color w:val="000000"/>
                <w:sz w:val="24"/>
                <w:szCs w:val="24"/>
              </w:rPr>
              <w:t xml:space="preserve"> 3 видів;</w:t>
            </w:r>
          </w:p>
          <w:p w:rsidR="00C3261D" w:rsidRDefault="00B755BF">
            <w:pPr>
              <w:numPr>
                <w:ilvl w:val="0"/>
                <w:numId w:val="3"/>
              </w:numPr>
              <w:pBdr>
                <w:top w:val="nil"/>
                <w:left w:val="nil"/>
                <w:bottom w:val="nil"/>
                <w:right w:val="nil"/>
                <w:between w:val="nil"/>
              </w:pBdr>
              <w:spacing w:line="240" w:lineRule="auto"/>
              <w:jc w:val="both"/>
            </w:pPr>
            <w:proofErr w:type="spellStart"/>
            <w:r>
              <w:rPr>
                <w:rFonts w:ascii="Times New Roman" w:eastAsia="Times New Roman" w:hAnsi="Times New Roman" w:cs="Times New Roman"/>
                <w:color w:val="000000"/>
                <w:sz w:val="24"/>
                <w:szCs w:val="24"/>
              </w:rPr>
              <w:t>Постер</w:t>
            </w:r>
            <w:proofErr w:type="spellEnd"/>
            <w:r>
              <w:rPr>
                <w:rFonts w:ascii="Times New Roman" w:eastAsia="Times New Roman" w:hAnsi="Times New Roman" w:cs="Times New Roman"/>
                <w:color w:val="000000"/>
                <w:sz w:val="24"/>
                <w:szCs w:val="24"/>
              </w:rPr>
              <w:t xml:space="preserve"> 3 видів;</w:t>
            </w:r>
          </w:p>
          <w:p w:rsidR="00C3261D" w:rsidRDefault="00B755BF">
            <w:pPr>
              <w:numPr>
                <w:ilvl w:val="0"/>
                <w:numId w:val="3"/>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Банер;</w:t>
            </w:r>
          </w:p>
          <w:p w:rsidR="00C3261D" w:rsidRDefault="00B755BF">
            <w:pPr>
              <w:numPr>
                <w:ilvl w:val="0"/>
                <w:numId w:val="3"/>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Рол-</w:t>
            </w:r>
            <w:proofErr w:type="spellStart"/>
            <w:r>
              <w:rPr>
                <w:rFonts w:ascii="Times New Roman" w:eastAsia="Times New Roman" w:hAnsi="Times New Roman" w:cs="Times New Roman"/>
                <w:color w:val="000000"/>
                <w:sz w:val="24"/>
                <w:szCs w:val="24"/>
              </w:rPr>
              <w:t>ап</w:t>
            </w:r>
            <w:proofErr w:type="spellEnd"/>
            <w:r>
              <w:rPr>
                <w:rFonts w:ascii="Times New Roman" w:eastAsia="Times New Roman" w:hAnsi="Times New Roman" w:cs="Times New Roman"/>
                <w:color w:val="000000"/>
                <w:sz w:val="24"/>
                <w:szCs w:val="24"/>
              </w:rPr>
              <w:t>;</w:t>
            </w:r>
          </w:p>
          <w:p w:rsidR="00C3261D" w:rsidRDefault="00B755BF">
            <w:pPr>
              <w:numPr>
                <w:ilvl w:val="0"/>
                <w:numId w:val="3"/>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Буклет.</w:t>
            </w:r>
          </w:p>
          <w:p w:rsidR="00C3261D" w:rsidRDefault="00B755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особливості розповсюдження інфекцій, що передаються статевим шляхом (Віл/</w:t>
            </w:r>
            <w:proofErr w:type="spellStart"/>
            <w:r>
              <w:rPr>
                <w:rFonts w:ascii="Times New Roman" w:eastAsia="Times New Roman" w:hAnsi="Times New Roman" w:cs="Times New Roman"/>
                <w:sz w:val="24"/>
                <w:szCs w:val="24"/>
              </w:rPr>
              <w:t>Снід</w:t>
            </w:r>
            <w:proofErr w:type="spellEnd"/>
            <w:r>
              <w:rPr>
                <w:rFonts w:ascii="Times New Roman" w:eastAsia="Times New Roman" w:hAnsi="Times New Roman" w:cs="Times New Roman"/>
                <w:sz w:val="24"/>
                <w:szCs w:val="24"/>
              </w:rPr>
              <w:t xml:space="preserve">, сифіліс, </w:t>
            </w:r>
            <w:proofErr w:type="spellStart"/>
            <w:r>
              <w:rPr>
                <w:rFonts w:ascii="Times New Roman" w:eastAsia="Times New Roman" w:hAnsi="Times New Roman" w:cs="Times New Roman"/>
                <w:sz w:val="24"/>
                <w:szCs w:val="24"/>
              </w:rPr>
              <w:t>хламідія</w:t>
            </w:r>
            <w:proofErr w:type="spellEnd"/>
            <w:r>
              <w:rPr>
                <w:rFonts w:ascii="Times New Roman" w:eastAsia="Times New Roman" w:hAnsi="Times New Roman" w:cs="Times New Roman"/>
                <w:sz w:val="24"/>
                <w:szCs w:val="24"/>
              </w:rPr>
              <w:t xml:space="preserve">, гонорея), шляхи передачі, правила запобігання розповсюдженню, контрацепція, лікування,  необхідність проходити тестування і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флаєрах</w:t>
            </w:r>
            <w:proofErr w:type="spellEnd"/>
            <w:r>
              <w:rPr>
                <w:rFonts w:ascii="Times New Roman" w:eastAsia="Times New Roman" w:hAnsi="Times New Roman" w:cs="Times New Roman"/>
                <w:sz w:val="24"/>
                <w:szCs w:val="24"/>
              </w:rPr>
              <w:t xml:space="preserve"> та буклетах повинна бути анонсована </w:t>
            </w:r>
            <w:proofErr w:type="spellStart"/>
            <w:r>
              <w:rPr>
                <w:rFonts w:ascii="Times New Roman" w:eastAsia="Times New Roman" w:hAnsi="Times New Roman" w:cs="Times New Roman"/>
                <w:sz w:val="24"/>
                <w:szCs w:val="24"/>
              </w:rPr>
              <w:t>скринінгова</w:t>
            </w:r>
            <w:proofErr w:type="spellEnd"/>
            <w:r>
              <w:rPr>
                <w:rFonts w:ascii="Times New Roman" w:eastAsia="Times New Roman" w:hAnsi="Times New Roman" w:cs="Times New Roman"/>
                <w:sz w:val="24"/>
                <w:szCs w:val="24"/>
              </w:rPr>
              <w:t xml:space="preserve"> кампанія (тестування жителів Верховинської та </w:t>
            </w:r>
            <w:proofErr w:type="spellStart"/>
            <w:r>
              <w:rPr>
                <w:rFonts w:ascii="Times New Roman" w:eastAsia="Times New Roman" w:hAnsi="Times New Roman" w:cs="Times New Roman"/>
                <w:sz w:val="24"/>
                <w:szCs w:val="24"/>
              </w:rPr>
              <w:t>Великобичківської</w:t>
            </w:r>
            <w:proofErr w:type="spellEnd"/>
            <w:r>
              <w:rPr>
                <w:rFonts w:ascii="Times New Roman" w:eastAsia="Times New Roman" w:hAnsi="Times New Roman" w:cs="Times New Roman"/>
                <w:sz w:val="24"/>
                <w:szCs w:val="24"/>
              </w:rPr>
              <w:t xml:space="preserve"> громад на Віл/</w:t>
            </w:r>
            <w:proofErr w:type="spellStart"/>
            <w:r>
              <w:rPr>
                <w:rFonts w:ascii="Times New Roman" w:eastAsia="Times New Roman" w:hAnsi="Times New Roman" w:cs="Times New Roman"/>
                <w:sz w:val="24"/>
                <w:szCs w:val="24"/>
              </w:rPr>
              <w:t>Снід</w:t>
            </w:r>
            <w:proofErr w:type="spellEnd"/>
            <w:r>
              <w:rPr>
                <w:rFonts w:ascii="Times New Roman" w:eastAsia="Times New Roman" w:hAnsi="Times New Roman" w:cs="Times New Roman"/>
                <w:sz w:val="24"/>
                <w:szCs w:val="24"/>
              </w:rPr>
              <w:t xml:space="preserve">, сифіліс, </w:t>
            </w:r>
            <w:proofErr w:type="spellStart"/>
            <w:r>
              <w:rPr>
                <w:rFonts w:ascii="Times New Roman" w:eastAsia="Times New Roman" w:hAnsi="Times New Roman" w:cs="Times New Roman"/>
                <w:sz w:val="24"/>
                <w:szCs w:val="24"/>
              </w:rPr>
              <w:t>хламідія</w:t>
            </w:r>
            <w:proofErr w:type="spellEnd"/>
            <w:r>
              <w:rPr>
                <w:rFonts w:ascii="Times New Roman" w:eastAsia="Times New Roman" w:hAnsi="Times New Roman" w:cs="Times New Roman"/>
                <w:sz w:val="24"/>
                <w:szCs w:val="24"/>
              </w:rPr>
              <w:t xml:space="preserve">, гонорея), що буде організовуватися партнерами проекту. Для кожного виду </w:t>
            </w:r>
            <w:proofErr w:type="spellStart"/>
            <w:r>
              <w:rPr>
                <w:rFonts w:ascii="Times New Roman" w:eastAsia="Times New Roman" w:hAnsi="Times New Roman" w:cs="Times New Roman"/>
                <w:sz w:val="24"/>
                <w:szCs w:val="24"/>
              </w:rPr>
              <w:t>промоційного</w:t>
            </w:r>
            <w:proofErr w:type="spellEnd"/>
            <w:r>
              <w:rPr>
                <w:rFonts w:ascii="Times New Roman" w:eastAsia="Times New Roman" w:hAnsi="Times New Roman" w:cs="Times New Roman"/>
                <w:sz w:val="24"/>
                <w:szCs w:val="24"/>
              </w:rPr>
              <w:t xml:space="preserve"> матеріалу повинен бути розроблений окремий контент кваліфікованими лікарями-інфекціоністами з відповідним досвідом роботи.</w:t>
            </w:r>
          </w:p>
        </w:tc>
      </w:tr>
      <w:tr w:rsidR="00C3261D">
        <w:tc>
          <w:tcPr>
            <w:tcW w:w="4282" w:type="dxa"/>
            <w:tcBorders>
              <w:top w:val="single" w:sz="4" w:space="0" w:color="000000"/>
              <w:left w:val="single" w:sz="4" w:space="0" w:color="000000"/>
              <w:bottom w:val="single" w:sz="4" w:space="0" w:color="000000"/>
              <w:right w:val="single" w:sz="4" w:space="0" w:color="000000"/>
            </w:tcBorders>
            <w:shd w:val="clear" w:color="auto" w:fill="FFFF00"/>
          </w:tcPr>
          <w:p w:rsidR="00C3261D" w:rsidRDefault="00C3261D">
            <w:pPr>
              <w:rPr>
                <w:rFonts w:ascii="Times New Roman" w:eastAsia="Times New Roman" w:hAnsi="Times New Roman" w:cs="Times New Roman"/>
                <w:b/>
                <w:sz w:val="24"/>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00"/>
          </w:tcPr>
          <w:p w:rsidR="00C3261D" w:rsidRDefault="00C3261D">
            <w:pPr>
              <w:rPr>
                <w:rFonts w:ascii="Times New Roman" w:eastAsia="Times New Roman" w:hAnsi="Times New Roman" w:cs="Times New Roman"/>
                <w:sz w:val="24"/>
                <w:szCs w:val="24"/>
              </w:rPr>
            </w:pPr>
          </w:p>
        </w:tc>
      </w:tr>
      <w:tr w:rsidR="00C3261D">
        <w:tc>
          <w:tcPr>
            <w:tcW w:w="4282" w:type="dxa"/>
            <w:tcBorders>
              <w:top w:val="single" w:sz="4" w:space="0" w:color="000000"/>
              <w:left w:val="single" w:sz="4" w:space="0" w:color="000000"/>
              <w:bottom w:val="single" w:sz="4" w:space="0" w:color="000000"/>
              <w:right w:val="single" w:sz="4" w:space="0" w:color="000000"/>
            </w:tcBorders>
            <w:shd w:val="clear" w:color="auto" w:fill="A6A6A6"/>
          </w:tcPr>
          <w:p w:rsidR="00C3261D" w:rsidRDefault="00B755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Виступ на заході:1-2 тренери</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C3261D" w:rsidRDefault="00B755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Виступ на заходах повинен проводитися досвідченими лекторами, лікарями-інфекціоністами з відповідним досвідом роботи.</w:t>
            </w:r>
          </w:p>
          <w:p w:rsidR="00C3261D" w:rsidRDefault="00B755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Обов’язки: розробка програми заходу, презентаційних матеріалів, виступ для учасників.</w:t>
            </w:r>
          </w:p>
          <w:p w:rsidR="00C3261D" w:rsidRDefault="00B755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особливості розповсюдження інфекцій, що передаються статевим шляхом (Віл/</w:t>
            </w:r>
            <w:proofErr w:type="spellStart"/>
            <w:r>
              <w:rPr>
                <w:rFonts w:ascii="Times New Roman" w:eastAsia="Times New Roman" w:hAnsi="Times New Roman" w:cs="Times New Roman"/>
                <w:sz w:val="24"/>
                <w:szCs w:val="24"/>
              </w:rPr>
              <w:t>Снід</w:t>
            </w:r>
            <w:proofErr w:type="spellEnd"/>
            <w:r>
              <w:rPr>
                <w:rFonts w:ascii="Times New Roman" w:eastAsia="Times New Roman" w:hAnsi="Times New Roman" w:cs="Times New Roman"/>
                <w:sz w:val="24"/>
                <w:szCs w:val="24"/>
              </w:rPr>
              <w:t xml:space="preserve">, сифіліс, </w:t>
            </w:r>
            <w:proofErr w:type="spellStart"/>
            <w:r>
              <w:rPr>
                <w:rFonts w:ascii="Times New Roman" w:eastAsia="Times New Roman" w:hAnsi="Times New Roman" w:cs="Times New Roman"/>
                <w:sz w:val="24"/>
                <w:szCs w:val="24"/>
              </w:rPr>
              <w:t>хламідія</w:t>
            </w:r>
            <w:proofErr w:type="spellEnd"/>
            <w:r>
              <w:rPr>
                <w:rFonts w:ascii="Times New Roman" w:eastAsia="Times New Roman" w:hAnsi="Times New Roman" w:cs="Times New Roman"/>
                <w:sz w:val="24"/>
                <w:szCs w:val="24"/>
              </w:rPr>
              <w:t xml:space="preserve">, гонорея), шляхи передачі, правила запобігання розповсюдженню, контрацепція, лікування,  необхідність проходити тестування, анонсування </w:t>
            </w:r>
            <w:proofErr w:type="spellStart"/>
            <w:r>
              <w:rPr>
                <w:rFonts w:ascii="Times New Roman" w:eastAsia="Times New Roman" w:hAnsi="Times New Roman" w:cs="Times New Roman"/>
                <w:sz w:val="24"/>
                <w:szCs w:val="24"/>
              </w:rPr>
              <w:t>скринінгової</w:t>
            </w:r>
            <w:proofErr w:type="spellEnd"/>
            <w:r>
              <w:rPr>
                <w:rFonts w:ascii="Times New Roman" w:eastAsia="Times New Roman" w:hAnsi="Times New Roman" w:cs="Times New Roman"/>
                <w:sz w:val="24"/>
                <w:szCs w:val="24"/>
              </w:rPr>
              <w:t xml:space="preserve"> кампанії, що проводитиметься партнерами проекту і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w:t>
            </w:r>
          </w:p>
          <w:p w:rsidR="00C3261D" w:rsidRDefault="00B755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Лектори в своєму виступі повинні використовувати інтерактивні засоби презентації матеріалів.</w:t>
            </w:r>
          </w:p>
          <w:p w:rsidR="00C3261D" w:rsidRDefault="00B755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заходи: 1 у Верховині та 1 у Великому Бичкові.</w:t>
            </w:r>
          </w:p>
        </w:tc>
      </w:tr>
      <w:tr w:rsidR="00C3261D">
        <w:tc>
          <w:tcPr>
            <w:tcW w:w="4282" w:type="dxa"/>
            <w:tcBorders>
              <w:top w:val="single" w:sz="4" w:space="0" w:color="000000"/>
              <w:left w:val="single" w:sz="4" w:space="0" w:color="000000"/>
              <w:bottom w:val="single" w:sz="4" w:space="0" w:color="000000"/>
              <w:right w:val="single" w:sz="4" w:space="0" w:color="000000"/>
            </w:tcBorders>
            <w:shd w:val="clear" w:color="auto" w:fill="FFFF00"/>
          </w:tcPr>
          <w:p w:rsidR="00C3261D" w:rsidRDefault="00C3261D">
            <w:pPr>
              <w:rPr>
                <w:rFonts w:ascii="Times New Roman" w:eastAsia="Times New Roman" w:hAnsi="Times New Roman" w:cs="Times New Roman"/>
                <w:b/>
                <w:sz w:val="24"/>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00"/>
          </w:tcPr>
          <w:p w:rsidR="00C3261D" w:rsidRDefault="00C3261D">
            <w:pPr>
              <w:rPr>
                <w:rFonts w:ascii="Times New Roman" w:eastAsia="Times New Roman" w:hAnsi="Times New Roman" w:cs="Times New Roman"/>
                <w:sz w:val="24"/>
                <w:szCs w:val="24"/>
              </w:rPr>
            </w:pPr>
          </w:p>
        </w:tc>
      </w:tr>
      <w:tr w:rsidR="00C3261D">
        <w:tc>
          <w:tcPr>
            <w:tcW w:w="4282" w:type="dxa"/>
            <w:tcBorders>
              <w:top w:val="single" w:sz="4" w:space="0" w:color="000000"/>
              <w:left w:val="single" w:sz="4" w:space="0" w:color="000000"/>
              <w:bottom w:val="single" w:sz="4" w:space="0" w:color="000000"/>
              <w:right w:val="single" w:sz="4" w:space="0" w:color="000000"/>
            </w:tcBorders>
            <w:shd w:val="clear" w:color="auto" w:fill="A6A6A6"/>
          </w:tcPr>
          <w:p w:rsidR="00C3261D" w:rsidRDefault="00B755B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Промоція заходу</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3261D" w:rsidRDefault="00B755BF">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виконавець повинен провести </w:t>
            </w:r>
            <w:proofErr w:type="spellStart"/>
            <w:r>
              <w:rPr>
                <w:rFonts w:ascii="Times New Roman" w:eastAsia="Times New Roman" w:hAnsi="Times New Roman" w:cs="Times New Roman"/>
                <w:sz w:val="24"/>
                <w:szCs w:val="24"/>
              </w:rPr>
              <w:t>промоційну</w:t>
            </w:r>
            <w:proofErr w:type="spellEnd"/>
            <w:r>
              <w:rPr>
                <w:rFonts w:ascii="Times New Roman" w:eastAsia="Times New Roman" w:hAnsi="Times New Roman" w:cs="Times New Roman"/>
                <w:sz w:val="24"/>
                <w:szCs w:val="24"/>
              </w:rPr>
              <w:t xml:space="preserve"> кампанію, що </w:t>
            </w:r>
            <w:proofErr w:type="spellStart"/>
            <w:r>
              <w:rPr>
                <w:rFonts w:ascii="Times New Roman" w:eastAsia="Times New Roman" w:hAnsi="Times New Roman" w:cs="Times New Roman"/>
                <w:sz w:val="24"/>
                <w:szCs w:val="24"/>
              </w:rPr>
              <w:t>складатиметься</w:t>
            </w:r>
            <w:proofErr w:type="spellEnd"/>
            <w:r>
              <w:rPr>
                <w:rFonts w:ascii="Times New Roman" w:eastAsia="Times New Roman" w:hAnsi="Times New Roman" w:cs="Times New Roman"/>
                <w:sz w:val="24"/>
                <w:szCs w:val="24"/>
              </w:rPr>
              <w:t xml:space="preserve"> із:</w:t>
            </w:r>
          </w:p>
          <w:p w:rsidR="00C3261D" w:rsidRDefault="00B755BF">
            <w:pPr>
              <w:widowControl w:val="0"/>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Реклами та анонсування  заходу в соціальних мережах, на відповідних веб сайтах та ЗМІ;</w:t>
            </w:r>
          </w:p>
          <w:p w:rsidR="00C3261D" w:rsidRDefault="00B755BF">
            <w:pPr>
              <w:widowControl w:val="0"/>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реклами на радіо та/або телебаченню.</w:t>
            </w:r>
          </w:p>
          <w:p w:rsidR="00C3261D" w:rsidRDefault="00B755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рекламі має бути зазначено про 2 заходи (Верховина та Великий Бичків), а також про те, що після заходу буде організована </w:t>
            </w:r>
            <w:proofErr w:type="spellStart"/>
            <w:r>
              <w:rPr>
                <w:rFonts w:ascii="Times New Roman" w:eastAsia="Times New Roman" w:hAnsi="Times New Roman" w:cs="Times New Roman"/>
                <w:sz w:val="24"/>
                <w:szCs w:val="24"/>
              </w:rPr>
              <w:t>скринінгова</w:t>
            </w:r>
            <w:proofErr w:type="spellEnd"/>
            <w:r>
              <w:rPr>
                <w:rFonts w:ascii="Times New Roman" w:eastAsia="Times New Roman" w:hAnsi="Times New Roman" w:cs="Times New Roman"/>
                <w:sz w:val="24"/>
                <w:szCs w:val="24"/>
              </w:rPr>
              <w:t xml:space="preserve"> кампанія.</w:t>
            </w:r>
          </w:p>
          <w:p w:rsidR="00C3261D" w:rsidRDefault="00B755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заходу виконавець забезпечує:</w:t>
            </w:r>
          </w:p>
          <w:p w:rsidR="00C3261D" w:rsidRDefault="00B755BF">
            <w:pPr>
              <w:numPr>
                <w:ilvl w:val="0"/>
                <w:numId w:val="5"/>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присутність представників ЗМІ (не менше 6) та висвітлення події;</w:t>
            </w:r>
          </w:p>
          <w:p w:rsidR="00C3261D" w:rsidRDefault="00B755BF">
            <w:pPr>
              <w:numPr>
                <w:ilvl w:val="0"/>
                <w:numId w:val="5"/>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підготовку публікацій для соціальних мереж та веб-сайтів про подію.</w:t>
            </w:r>
          </w:p>
          <w:p w:rsidR="00C3261D" w:rsidRDefault="00B755B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публікацій та їх контент, перелік веб сайтів, сторінок в соціальних мережах та ЗМІ узгоджуються із замовником.</w:t>
            </w:r>
          </w:p>
        </w:tc>
      </w:tr>
      <w:tr w:rsidR="00C3261D">
        <w:tc>
          <w:tcPr>
            <w:tcW w:w="4282" w:type="dxa"/>
            <w:tcBorders>
              <w:top w:val="single" w:sz="4" w:space="0" w:color="000000"/>
              <w:left w:val="single" w:sz="4" w:space="0" w:color="000000"/>
              <w:bottom w:val="single" w:sz="4" w:space="0" w:color="000000"/>
              <w:right w:val="single" w:sz="4" w:space="0" w:color="000000"/>
            </w:tcBorders>
            <w:shd w:val="clear" w:color="auto" w:fill="FFFF00"/>
          </w:tcPr>
          <w:p w:rsidR="00C3261D" w:rsidRDefault="00C3261D">
            <w:pPr>
              <w:rPr>
                <w:rFonts w:ascii="Times New Roman" w:eastAsia="Times New Roman" w:hAnsi="Times New Roman" w:cs="Times New Roman"/>
                <w:b/>
                <w:sz w:val="24"/>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00"/>
          </w:tcPr>
          <w:p w:rsidR="00C3261D" w:rsidRDefault="00C3261D">
            <w:pPr>
              <w:rPr>
                <w:rFonts w:ascii="Times New Roman" w:eastAsia="Times New Roman" w:hAnsi="Times New Roman" w:cs="Times New Roman"/>
                <w:b/>
                <w:sz w:val="24"/>
                <w:szCs w:val="24"/>
              </w:rPr>
            </w:pPr>
          </w:p>
        </w:tc>
      </w:tr>
      <w:tr w:rsidR="00C3261D">
        <w:tc>
          <w:tcPr>
            <w:tcW w:w="4282" w:type="dxa"/>
            <w:tcBorders>
              <w:top w:val="single" w:sz="4" w:space="0" w:color="000000"/>
              <w:left w:val="single" w:sz="4" w:space="0" w:color="000000"/>
              <w:bottom w:val="single" w:sz="4" w:space="0" w:color="000000"/>
              <w:right w:val="single" w:sz="4" w:space="0" w:color="000000"/>
            </w:tcBorders>
            <w:shd w:val="clear" w:color="auto" w:fill="A6A6A6"/>
          </w:tcPr>
          <w:p w:rsidR="00C3261D" w:rsidRDefault="00B755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Додатково: технічний супровід</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3261D" w:rsidRDefault="00B755B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звукового супроводу заходу, інтерактивного обладнання ( проектора, екрану та ін.) </w:t>
            </w:r>
          </w:p>
          <w:p w:rsidR="00C3261D" w:rsidRDefault="00B755B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 заходи, 1 у Верховині, 1 у Великому Бичкові.</w:t>
            </w:r>
          </w:p>
        </w:tc>
      </w:tr>
    </w:tbl>
    <w:p w:rsidR="00C3261D" w:rsidRDefault="00C3261D">
      <w:pPr>
        <w:jc w:val="both"/>
        <w:rPr>
          <w:rFonts w:ascii="Times New Roman" w:eastAsia="Times New Roman" w:hAnsi="Times New Roman" w:cs="Times New Roman"/>
          <w:i/>
        </w:rPr>
      </w:pPr>
    </w:p>
    <w:p w:rsidR="00B755BF" w:rsidRDefault="00B755BF">
      <w:pPr>
        <w:jc w:val="both"/>
        <w:rPr>
          <w:rFonts w:ascii="Times New Roman" w:eastAsia="Times New Roman" w:hAnsi="Times New Roman" w:cs="Times New Roman"/>
          <w:i/>
        </w:rPr>
      </w:pPr>
    </w:p>
    <w:p w:rsidR="00020226" w:rsidRDefault="00020226">
      <w:pPr>
        <w:jc w:val="both"/>
        <w:rPr>
          <w:rFonts w:ascii="Times New Roman" w:eastAsia="Times New Roman" w:hAnsi="Times New Roman" w:cs="Times New Roman"/>
          <w:i/>
        </w:rPr>
      </w:pPr>
    </w:p>
    <w:p w:rsidR="00C3261D" w:rsidRDefault="00B755BF">
      <w:pPr>
        <w:jc w:val="both"/>
        <w:rPr>
          <w:rFonts w:ascii="Times New Roman" w:eastAsia="Times New Roman" w:hAnsi="Times New Roman" w:cs="Times New Roman"/>
          <w:i/>
        </w:rPr>
      </w:pPr>
      <w:r>
        <w:rPr>
          <w:rFonts w:ascii="Times New Roman" w:eastAsia="Times New Roman" w:hAnsi="Times New Roman" w:cs="Times New Roman"/>
          <w:i/>
        </w:rPr>
        <w:t>Вимоги до лекторів:</w:t>
      </w:r>
    </w:p>
    <w:p w:rsidR="00C3261D" w:rsidRDefault="00C3261D">
      <w:pPr>
        <w:jc w:val="both"/>
        <w:rPr>
          <w:rFonts w:ascii="Times New Roman" w:eastAsia="Times New Roman" w:hAnsi="Times New Roman" w:cs="Times New Roman"/>
          <w:i/>
        </w:rPr>
      </w:pPr>
    </w:p>
    <w:p w:rsidR="00C3261D" w:rsidRDefault="00B755BF">
      <w:pPr>
        <w:numPr>
          <w:ilvl w:val="0"/>
          <w:numId w:val="4"/>
        </w:numPr>
        <w:pBdr>
          <w:top w:val="nil"/>
          <w:left w:val="nil"/>
          <w:bottom w:val="nil"/>
          <w:right w:val="nil"/>
          <w:between w:val="nil"/>
        </w:pBdr>
        <w:spacing w:before="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Наявний досвід у медичній сфері не менше 3 років:</w:t>
      </w:r>
    </w:p>
    <w:p w:rsidR="00C3261D" w:rsidRDefault="00B755BF">
      <w:pPr>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Медична практика: досвід роботи лікаря-інфекціоніста в державних чи приватних медичних закладах; та/або</w:t>
      </w:r>
    </w:p>
    <w:p w:rsidR="00C3261D" w:rsidRDefault="00B755BF">
      <w:pPr>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Викладацька практика: досвід викладання в спеціалізованих медичних закладах вищої освіти чи медичному факультеті ЗВО за напрямом «Інфекційні захворювання».</w:t>
      </w:r>
    </w:p>
    <w:p w:rsidR="00C3261D" w:rsidRDefault="00B755B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Наявний досвід публічних виступів, проведенні тренінгів, навчань, відкритих лекцій.  </w:t>
      </w:r>
    </w:p>
    <w:p w:rsidR="00C3261D" w:rsidRDefault="00C3261D">
      <w:pPr>
        <w:jc w:val="both"/>
        <w:rPr>
          <w:rFonts w:ascii="Times New Roman" w:eastAsia="Times New Roman" w:hAnsi="Times New Roman" w:cs="Times New Roman"/>
          <w:i/>
        </w:rPr>
      </w:pPr>
    </w:p>
    <w:p w:rsidR="00C3261D" w:rsidRDefault="00B755BF">
      <w:pPr>
        <w:jc w:val="both"/>
        <w:rPr>
          <w:rFonts w:ascii="Times New Roman" w:eastAsia="Times New Roman" w:hAnsi="Times New Roman" w:cs="Times New Roman"/>
          <w:i/>
        </w:rPr>
      </w:pPr>
      <w:r>
        <w:rPr>
          <w:rFonts w:ascii="Times New Roman" w:eastAsia="Times New Roman" w:hAnsi="Times New Roman" w:cs="Times New Roman"/>
          <w:i/>
        </w:rPr>
        <w:t>Підтверджуючі документи:</w:t>
      </w:r>
    </w:p>
    <w:p w:rsidR="00C3261D" w:rsidRDefault="00B755BF">
      <w:pPr>
        <w:pBdr>
          <w:top w:val="nil"/>
          <w:left w:val="nil"/>
          <w:bottom w:val="nil"/>
          <w:right w:val="nil"/>
          <w:between w:val="nil"/>
        </w:pBd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Надати наступні документи, щодо експертів-тренерів:</w:t>
      </w:r>
    </w:p>
    <w:p w:rsidR="00C3261D" w:rsidRDefault="00B755BF">
      <w:pPr>
        <w:pBdr>
          <w:top w:val="nil"/>
          <w:left w:val="nil"/>
          <w:bottom w:val="nil"/>
          <w:right w:val="nil"/>
          <w:between w:val="nil"/>
        </w:pBdr>
        <w:spacing w:line="252"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резюме, що стосується сфери виступів (або </w:t>
      </w:r>
      <w:proofErr w:type="spellStart"/>
      <w:r>
        <w:rPr>
          <w:rFonts w:ascii="Times New Roman" w:eastAsia="Times New Roman" w:hAnsi="Times New Roman" w:cs="Times New Roman"/>
          <w:color w:val="000000"/>
          <w:sz w:val="24"/>
          <w:szCs w:val="24"/>
        </w:rPr>
        <w:t>тренерства</w:t>
      </w:r>
      <w:proofErr w:type="spellEnd"/>
      <w:r>
        <w:rPr>
          <w:rFonts w:ascii="Times New Roman" w:eastAsia="Times New Roman" w:hAnsi="Times New Roman" w:cs="Times New Roman"/>
          <w:color w:val="000000"/>
          <w:sz w:val="24"/>
          <w:szCs w:val="24"/>
        </w:rPr>
        <w:t>)  з теми «Особливості розповсюдження та запобігання ІСШ»;</w:t>
      </w:r>
    </w:p>
    <w:p w:rsidR="00C3261D" w:rsidRDefault="00B755BF">
      <w:pPr>
        <w:pBdr>
          <w:top w:val="nil"/>
          <w:left w:val="nil"/>
          <w:bottom w:val="nil"/>
          <w:right w:val="nil"/>
          <w:between w:val="nil"/>
        </w:pBdr>
        <w:spacing w:line="252"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довідку з місця роботи (медичної установи чи закладу вищої освіти) із зазначенням терміну роботи.</w:t>
      </w:r>
    </w:p>
    <w:p w:rsidR="00C3261D" w:rsidRDefault="00B755BF" w:rsidP="00975048">
      <w:pPr>
        <w:pBdr>
          <w:top w:val="nil"/>
          <w:left w:val="nil"/>
          <w:bottom w:val="nil"/>
          <w:right w:val="nil"/>
          <w:between w:val="nil"/>
        </w:pBdr>
        <w:spacing w:line="252"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відгуки (або рекомендації) (не менше 2-х) про проведені навчальні (або тренінгові) сесії.</w:t>
      </w:r>
    </w:p>
    <w:p w:rsidR="00C3261D" w:rsidRDefault="00B755BF">
      <w:pPr>
        <w:pBdr>
          <w:top w:val="nil"/>
          <w:left w:val="nil"/>
          <w:bottom w:val="nil"/>
          <w:right w:val="nil"/>
          <w:between w:val="nil"/>
        </w:pBdr>
        <w:spacing w:line="252"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-копію офіційного документу (сертифікату/свідоцтва) закладу освіти, в тому числі з країн ЄС,   про участь у  навчанні за темою.</w:t>
      </w:r>
    </w:p>
    <w:p w:rsidR="00C3261D" w:rsidRDefault="00B755BF">
      <w:pPr>
        <w:pBdr>
          <w:top w:val="nil"/>
          <w:left w:val="nil"/>
          <w:bottom w:val="nil"/>
          <w:right w:val="nil"/>
          <w:between w:val="nil"/>
        </w:pBdr>
        <w:spacing w:after="160" w:line="252"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сертифікати/довідки про підвищення кваліфікації за даною тематикою.</w:t>
      </w:r>
    </w:p>
    <w:p w:rsidR="00C3261D" w:rsidRDefault="00C3261D">
      <w:pPr>
        <w:jc w:val="both"/>
        <w:rPr>
          <w:rFonts w:ascii="Times New Roman" w:eastAsia="Times New Roman" w:hAnsi="Times New Roman" w:cs="Times New Roman"/>
          <w:i/>
        </w:rPr>
      </w:pPr>
    </w:p>
    <w:p w:rsidR="00C3261D" w:rsidRDefault="00C3261D">
      <w:pPr>
        <w:jc w:val="both"/>
        <w:rPr>
          <w:rFonts w:ascii="Times New Roman" w:eastAsia="Times New Roman" w:hAnsi="Times New Roman" w:cs="Times New Roman"/>
          <w:b/>
          <w:i/>
        </w:rPr>
      </w:pPr>
      <w:bookmarkStart w:id="3" w:name="_heading=h.30j0zll" w:colFirst="0" w:colLast="0"/>
      <w:bookmarkEnd w:id="3"/>
    </w:p>
    <w:p w:rsidR="00C3261D" w:rsidRDefault="00C3261D"/>
    <w:sectPr w:rsidR="00C3261D">
      <w:pgSz w:w="11909" w:h="16834"/>
      <w:pgMar w:top="993" w:right="71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B8C"/>
    <w:multiLevelType w:val="multilevel"/>
    <w:tmpl w:val="C242E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208A"/>
    <w:multiLevelType w:val="multilevel"/>
    <w:tmpl w:val="F254379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1D7D76B9"/>
    <w:multiLevelType w:val="multilevel"/>
    <w:tmpl w:val="D7A8DBC4"/>
    <w:lvl w:ilvl="0">
      <w:start w:val="1"/>
      <w:numFmt w:val="decimal"/>
      <w:lvlText w:val="%1."/>
      <w:lvlJc w:val="left"/>
      <w:pPr>
        <w:ind w:left="680" w:hanging="360"/>
      </w:pPr>
      <w:rPr>
        <w:b/>
      </w:rPr>
    </w:lvl>
    <w:lvl w:ilvl="1">
      <w:start w:val="1"/>
      <w:numFmt w:val="decimal"/>
      <w:lvlText w:val="%1.%2."/>
      <w:lvlJc w:val="left"/>
      <w:pPr>
        <w:ind w:left="928" w:hanging="360"/>
      </w:pPr>
    </w:lvl>
    <w:lvl w:ilvl="2">
      <w:start w:val="1"/>
      <w:numFmt w:val="decimal"/>
      <w:lvlText w:val="%1.%2.%3."/>
      <w:lvlJc w:val="left"/>
      <w:pPr>
        <w:ind w:left="1480" w:hanging="720"/>
      </w:pPr>
    </w:lvl>
    <w:lvl w:ilvl="3">
      <w:start w:val="1"/>
      <w:numFmt w:val="decimal"/>
      <w:lvlText w:val="%1.%2.%3.%4."/>
      <w:lvlJc w:val="left"/>
      <w:pPr>
        <w:ind w:left="1700" w:hanging="720"/>
      </w:pPr>
    </w:lvl>
    <w:lvl w:ilvl="4">
      <w:start w:val="1"/>
      <w:numFmt w:val="decimal"/>
      <w:lvlText w:val="%1.%2.%3.%4.%5."/>
      <w:lvlJc w:val="left"/>
      <w:pPr>
        <w:ind w:left="2280" w:hanging="1080"/>
      </w:pPr>
    </w:lvl>
    <w:lvl w:ilvl="5">
      <w:start w:val="1"/>
      <w:numFmt w:val="decimal"/>
      <w:lvlText w:val="%1.%2.%3.%4.%5.%6."/>
      <w:lvlJc w:val="left"/>
      <w:pPr>
        <w:ind w:left="2500" w:hanging="1080"/>
      </w:pPr>
    </w:lvl>
    <w:lvl w:ilvl="6">
      <w:start w:val="1"/>
      <w:numFmt w:val="decimal"/>
      <w:lvlText w:val="%1.%2.%3.%4.%5.%6.%7."/>
      <w:lvlJc w:val="left"/>
      <w:pPr>
        <w:ind w:left="3080" w:hanging="1440"/>
      </w:pPr>
    </w:lvl>
    <w:lvl w:ilvl="7">
      <w:start w:val="1"/>
      <w:numFmt w:val="decimal"/>
      <w:lvlText w:val="%1.%2.%3.%4.%5.%6.%7.%8."/>
      <w:lvlJc w:val="left"/>
      <w:pPr>
        <w:ind w:left="3300" w:hanging="1440"/>
      </w:pPr>
    </w:lvl>
    <w:lvl w:ilvl="8">
      <w:start w:val="1"/>
      <w:numFmt w:val="decimal"/>
      <w:lvlText w:val="%1.%2.%3.%4.%5.%6.%7.%8.%9."/>
      <w:lvlJc w:val="left"/>
      <w:pPr>
        <w:ind w:left="3880" w:hanging="1800"/>
      </w:pPr>
    </w:lvl>
  </w:abstractNum>
  <w:abstractNum w:abstractNumId="3" w15:restartNumberingAfterBreak="0">
    <w:nsid w:val="352D401F"/>
    <w:multiLevelType w:val="multilevel"/>
    <w:tmpl w:val="583A154A"/>
    <w:lvl w:ilvl="0">
      <w:start w:val="1"/>
      <w:numFmt w:val="bullet"/>
      <w:lvlText w:val="●"/>
      <w:lvlJc w:val="left"/>
      <w:pPr>
        <w:ind w:left="2345" w:hanging="360"/>
      </w:pPr>
      <w:rPr>
        <w:rFonts w:ascii="Noto Sans Symbols" w:eastAsia="Noto Sans Symbols" w:hAnsi="Noto Sans Symbols" w:cs="Noto Sans Symbols"/>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 w15:restartNumberingAfterBreak="0">
    <w:nsid w:val="55D812FC"/>
    <w:multiLevelType w:val="multilevel"/>
    <w:tmpl w:val="1E8C4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9D18AF"/>
    <w:multiLevelType w:val="multilevel"/>
    <w:tmpl w:val="61649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1D"/>
    <w:rsid w:val="00020226"/>
    <w:rsid w:val="000D6480"/>
    <w:rsid w:val="000E4B9F"/>
    <w:rsid w:val="006A6FB1"/>
    <w:rsid w:val="00841B2B"/>
    <w:rsid w:val="0095692B"/>
    <w:rsid w:val="00975048"/>
    <w:rsid w:val="00B67F6C"/>
    <w:rsid w:val="00B755BF"/>
    <w:rsid w:val="00C3261D"/>
    <w:rsid w:val="00CB3E74"/>
    <w:rsid w:val="00DE2996"/>
    <w:rsid w:val="00E21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90254-FE91-4D0E-8A5A-326BC54C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basedOn w:val="a"/>
    <w:link w:val="a7"/>
    <w:uiPriority w:val="99"/>
    <w:qFormat/>
    <w:rsid w:val="00CE358E"/>
    <w:pPr>
      <w:spacing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link w:val="a9"/>
    <w:uiPriority w:val="99"/>
    <w:unhideWhenUsed/>
    <w:rsid w:val="00CE3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у Знак"/>
    <w:link w:val="a6"/>
    <w:uiPriority w:val="99"/>
    <w:rsid w:val="00CE358E"/>
    <w:rPr>
      <w:rFonts w:ascii="Times New Roman" w:eastAsia="Times New Roman" w:hAnsi="Times New Roman" w:cs="Times New Roman"/>
      <w:sz w:val="24"/>
      <w:szCs w:val="24"/>
      <w:lang w:val="uk-UA" w:eastAsia="ru-RU"/>
    </w:rPr>
  </w:style>
  <w:style w:type="character" w:customStyle="1" w:styleId="a9">
    <w:name w:val="Звичайний (веб) Знак"/>
    <w:link w:val="a8"/>
    <w:uiPriority w:val="99"/>
    <w:locked/>
    <w:rsid w:val="00CE358E"/>
    <w:rPr>
      <w:rFonts w:ascii="Times New Roman" w:eastAsia="Times New Roman" w:hAnsi="Times New Roman" w:cs="Times New Roman"/>
      <w:sz w:val="24"/>
      <w:szCs w:val="24"/>
      <w:lang w:val="uk-UA" w:eastAsia="ru-RU"/>
    </w:rPr>
  </w:style>
  <w:style w:type="paragraph" w:styleId="aa">
    <w:name w:val="footnote text"/>
    <w:basedOn w:val="a"/>
    <w:link w:val="ab"/>
    <w:uiPriority w:val="99"/>
    <w:semiHidden/>
    <w:unhideWhenUsed/>
    <w:rsid w:val="00CE358E"/>
    <w:pPr>
      <w:spacing w:line="240" w:lineRule="auto"/>
    </w:pPr>
    <w:rPr>
      <w:rFonts w:ascii="Times New Roman" w:eastAsia="Times New Roman" w:hAnsi="Times New Roman" w:cs="Times New Roman"/>
      <w:sz w:val="20"/>
      <w:szCs w:val="20"/>
      <w:lang w:eastAsia="ru-RU"/>
    </w:rPr>
  </w:style>
  <w:style w:type="character" w:customStyle="1" w:styleId="ab">
    <w:name w:val="Текст виноски Знак"/>
    <w:basedOn w:val="a0"/>
    <w:link w:val="aa"/>
    <w:uiPriority w:val="99"/>
    <w:semiHidden/>
    <w:rsid w:val="00CE358E"/>
    <w:rPr>
      <w:rFonts w:ascii="Times New Roman" w:eastAsia="Times New Roman" w:hAnsi="Times New Roman" w:cs="Times New Roman"/>
      <w:sz w:val="20"/>
      <w:szCs w:val="20"/>
      <w:lang w:val="uk-UA" w:eastAsia="ru-RU"/>
    </w:rPr>
  </w:style>
  <w:style w:type="paragraph" w:customStyle="1" w:styleId="10">
    <w:name w:val="Абзац списка1"/>
    <w:basedOn w:val="a"/>
    <w:rsid w:val="007E7B08"/>
    <w:pPr>
      <w:spacing w:after="160" w:line="252" w:lineRule="auto"/>
      <w:ind w:left="720"/>
      <w:contextualSpacing/>
    </w:pPr>
    <w:rPr>
      <w:rFonts w:ascii="Calibri" w:eastAsia="Arial Unicode MS" w:hAnsi="Calibri" w:cs="Calibri"/>
      <w:kern w:val="1"/>
      <w:lang w:val="ru-RU" w:eastAsia="en-US"/>
    </w:rPr>
  </w:style>
  <w:style w:type="table" w:customStyle="1" w:styleId="ac">
    <w:basedOn w:val="TableNormal0"/>
    <w:tblPr>
      <w:tblStyleRowBandSize w:val="1"/>
      <w:tblStyleColBandSize w:val="1"/>
      <w:tblCellMar>
        <w:left w:w="115" w:type="dxa"/>
        <w:right w:w="115" w:type="dxa"/>
      </w:tblCellMar>
    </w:tblPr>
  </w:style>
  <w:style w:type="paragraph" w:styleId="ad">
    <w:name w:val="Balloon Text"/>
    <w:basedOn w:val="a"/>
    <w:link w:val="ae"/>
    <w:uiPriority w:val="99"/>
    <w:semiHidden/>
    <w:unhideWhenUsed/>
    <w:rsid w:val="00CB3E74"/>
    <w:pPr>
      <w:spacing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CB3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0GNCQaFGjgpToqdt9fWeM7BMHg==">AMUW2mUnM+ionc6UOBZjsnBWXpGCi6afLXZ9fe14Gdhhc8D5KPu3kL/GaufzHwPFKbv+7dZz4CLygtvKGSvLnOpJGrc8JkV5xB4cEhtjfsBSTSs/DvDiOdkuDjd4J6v7YG7cqHmiI0oYfg0SCmYgfWjAPybVLlIOew==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9FD3D9-BE1D-4362-A9E3-3AB328A1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4643</Words>
  <Characters>2648</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Євдокія</dc:creator>
  <cp:lastModifiedBy>Євдокія</cp:lastModifiedBy>
  <cp:revision>13</cp:revision>
  <cp:lastPrinted>2022-09-23T06:32:00Z</cp:lastPrinted>
  <dcterms:created xsi:type="dcterms:W3CDTF">2022-09-16T12:21:00Z</dcterms:created>
  <dcterms:modified xsi:type="dcterms:W3CDTF">2022-09-23T07:34:00Z</dcterms:modified>
</cp:coreProperties>
</file>