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26" w:rsidRPr="00C02E76" w:rsidRDefault="00750326" w:rsidP="00750326">
      <w:pPr>
        <w:jc w:val="right"/>
        <w:rPr>
          <w:b/>
          <w:lang w:eastAsia="en-US"/>
        </w:rPr>
      </w:pPr>
      <w:r w:rsidRPr="00C02E76">
        <w:rPr>
          <w:b/>
          <w:lang w:eastAsia="en-US"/>
        </w:rPr>
        <w:t xml:space="preserve">ДОДАТОК </w:t>
      </w:r>
      <w:r>
        <w:rPr>
          <w:b/>
          <w:lang w:eastAsia="en-US"/>
        </w:rPr>
        <w:t>1</w:t>
      </w:r>
    </w:p>
    <w:p w:rsidR="00750326" w:rsidRPr="00C02E76" w:rsidRDefault="00750326" w:rsidP="00750326">
      <w:pPr>
        <w:jc w:val="right"/>
        <w:rPr>
          <w:b/>
        </w:rPr>
      </w:pPr>
      <w:r>
        <w:rPr>
          <w:b/>
        </w:rPr>
        <w:t>д</w:t>
      </w:r>
      <w:r w:rsidRPr="00C02E76">
        <w:rPr>
          <w:b/>
        </w:rPr>
        <w:t xml:space="preserve">о </w:t>
      </w:r>
      <w:r>
        <w:rPr>
          <w:b/>
        </w:rPr>
        <w:t>оголошення на проведення закупівлі</w:t>
      </w:r>
      <w:r w:rsidRPr="00C02E76">
        <w:rPr>
          <w:b/>
        </w:rPr>
        <w:t xml:space="preserve"> </w:t>
      </w:r>
    </w:p>
    <w:p w:rsidR="00750326" w:rsidRPr="00C02E76" w:rsidRDefault="00750326" w:rsidP="00750326">
      <w:pPr>
        <w:jc w:val="right"/>
      </w:pPr>
    </w:p>
    <w:p w:rsidR="00750326" w:rsidRPr="00C02E76" w:rsidRDefault="00750326" w:rsidP="00750326">
      <w:pPr>
        <w:jc w:val="center"/>
        <w:rPr>
          <w:b/>
          <w:lang w:eastAsia="en-US"/>
        </w:rPr>
      </w:pPr>
      <w:r w:rsidRPr="00C02E76">
        <w:rPr>
          <w:b/>
          <w:lang w:eastAsia="en-US"/>
        </w:rPr>
        <w:t>ТЕХНІЧНІ, ЯКІСНІ ТА КІЛЬКІСНІ</w:t>
      </w:r>
    </w:p>
    <w:p w:rsidR="00750326" w:rsidRPr="00C02E76" w:rsidRDefault="00750326" w:rsidP="00750326">
      <w:pPr>
        <w:ind w:hanging="709"/>
        <w:jc w:val="center"/>
        <w:rPr>
          <w:b/>
          <w:lang w:eastAsia="en-US"/>
        </w:rPr>
      </w:pPr>
      <w:r w:rsidRPr="00C02E76">
        <w:rPr>
          <w:b/>
          <w:lang w:eastAsia="en-US"/>
        </w:rPr>
        <w:t xml:space="preserve">         ХАРАКТЕРИСТИКИ ПРЕДМЕТА ЗАКУПІВЛІ</w:t>
      </w:r>
    </w:p>
    <w:p w:rsidR="00750326" w:rsidRPr="007C3736" w:rsidRDefault="00750326" w:rsidP="00750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5B3C">
        <w:rPr>
          <w:b/>
          <w:sz w:val="22"/>
          <w:szCs w:val="22"/>
        </w:rPr>
        <w:t xml:space="preserve">на закупівлю </w:t>
      </w:r>
      <w:r w:rsidRPr="002B10BD">
        <w:rPr>
          <w:b/>
        </w:rPr>
        <w:t xml:space="preserve">ДК 021:2015: </w:t>
      </w:r>
      <w:r w:rsidR="008A7B6C">
        <w:rPr>
          <w:b/>
        </w:rPr>
        <w:t>33140000-3</w:t>
      </w:r>
      <w:r>
        <w:rPr>
          <w:b/>
        </w:rPr>
        <w:t xml:space="preserve"> «</w:t>
      </w:r>
      <w:r w:rsidR="008A7B6C">
        <w:rPr>
          <w:b/>
        </w:rPr>
        <w:t>Медичні матеріали</w:t>
      </w:r>
      <w:r>
        <w:rPr>
          <w:b/>
        </w:rPr>
        <w:t>»</w:t>
      </w:r>
    </w:p>
    <w:p w:rsidR="00750326" w:rsidRPr="00F12DB9" w:rsidRDefault="00750326" w:rsidP="00750326">
      <w:pPr>
        <w:spacing w:line="276" w:lineRule="auto"/>
        <w:ind w:firstLine="540"/>
        <w:jc w:val="both"/>
      </w:pPr>
      <w:r w:rsidRPr="00F12DB9">
        <w:t xml:space="preserve">1. Період </w:t>
      </w:r>
      <w:r>
        <w:t>постачання товару: протягом 2022</w:t>
      </w:r>
      <w:r w:rsidRPr="00F12DB9">
        <w:t xml:space="preserve"> р. Учасник постачає Замовнику товар поступово, у період дії договору. Замовник має право надавати Учаснику заявки на поставку товару </w:t>
      </w:r>
      <w:r w:rsidRPr="00525B3C">
        <w:rPr>
          <w:b/>
        </w:rPr>
        <w:t xml:space="preserve"> </w:t>
      </w:r>
      <w:r w:rsidRPr="00F12DB9">
        <w:t xml:space="preserve">протягом періоду дії договору (з </w:t>
      </w:r>
      <w:r>
        <w:t>дня підписання до 31 грудня 2022</w:t>
      </w:r>
      <w:r w:rsidRPr="00F12DB9">
        <w:t xml:space="preserve"> року).</w:t>
      </w:r>
    </w:p>
    <w:p w:rsidR="00750326" w:rsidRPr="00F12DB9" w:rsidRDefault="00750326" w:rsidP="00750326">
      <w:pPr>
        <w:spacing w:line="276" w:lineRule="auto"/>
        <w:ind w:firstLine="540"/>
        <w:jc w:val="both"/>
      </w:pPr>
      <w:r w:rsidRPr="00F12DB9">
        <w:t xml:space="preserve">2. Місце поставки: </w:t>
      </w:r>
      <w:r w:rsidRPr="00F12DB9">
        <w:rPr>
          <w:color w:val="000000"/>
        </w:rPr>
        <w:t xml:space="preserve">товар </w:t>
      </w:r>
      <w:r w:rsidRPr="00F12DB9">
        <w:t>має постачатися за заявками Замовника на адресу Замовника</w:t>
      </w:r>
      <w:r>
        <w:t xml:space="preserve"> в кімнату для зберігання ліків</w:t>
      </w:r>
      <w:r w:rsidRPr="00F12DB9">
        <w:t>;</w:t>
      </w:r>
    </w:p>
    <w:p w:rsidR="00750326" w:rsidRPr="00F12DB9" w:rsidRDefault="00750326" w:rsidP="00750326">
      <w:pPr>
        <w:spacing w:line="276" w:lineRule="auto"/>
        <w:ind w:firstLine="540"/>
        <w:jc w:val="both"/>
      </w:pPr>
      <w:r w:rsidRPr="00F12DB9">
        <w:t xml:space="preserve">3.  Строки поставки товару: не більше </w:t>
      </w:r>
      <w:r>
        <w:t>-2-х</w:t>
      </w:r>
      <w:r w:rsidRPr="00F12DB9">
        <w:t xml:space="preserve"> календарн</w:t>
      </w:r>
      <w:r>
        <w:t>их</w:t>
      </w:r>
      <w:r w:rsidRPr="00F12DB9">
        <w:t xml:space="preserve"> дн</w:t>
      </w:r>
      <w:r>
        <w:t>ів</w:t>
      </w:r>
      <w:r w:rsidRPr="00F12DB9">
        <w:t xml:space="preserve"> після отримання заявки;</w:t>
      </w:r>
    </w:p>
    <w:p w:rsidR="00750326" w:rsidRDefault="00750326" w:rsidP="00750326">
      <w:pPr>
        <w:spacing w:line="276" w:lineRule="auto"/>
        <w:ind w:firstLine="540"/>
        <w:jc w:val="both"/>
      </w:pPr>
      <w:r w:rsidRPr="003C6488">
        <w:t>4. Технічні</w:t>
      </w:r>
      <w:r w:rsidRPr="00F12DB9">
        <w:t>, якісні та кількісні характеристики предмету закупівлі:</w:t>
      </w:r>
    </w:p>
    <w:p w:rsidR="00750326" w:rsidRDefault="00750326" w:rsidP="00750326">
      <w:pPr>
        <w:spacing w:after="160" w:line="259" w:lineRule="auto"/>
        <w:rPr>
          <w:rFonts w:eastAsia="Calibri"/>
          <w:lang w:eastAsia="en-US"/>
        </w:rPr>
      </w:pPr>
      <w:r w:rsidRPr="00CE593A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Pr="00CE593A">
        <w:rPr>
          <w:rFonts w:eastAsia="Calibri"/>
          <w:lang w:eastAsia="en-US"/>
        </w:rPr>
        <w:t xml:space="preserve"> </w:t>
      </w:r>
      <w:r w:rsidRPr="00CE593A">
        <w:rPr>
          <w:rFonts w:eastAsia="Calibri"/>
          <w:lang w:val="ru-RU" w:eastAsia="en-US"/>
        </w:rPr>
        <w:t>Медико-</w:t>
      </w:r>
      <w:proofErr w:type="spellStart"/>
      <w:r w:rsidRPr="00CE593A">
        <w:rPr>
          <w:rFonts w:eastAsia="Calibri"/>
          <w:lang w:val="ru-RU" w:eastAsia="en-US"/>
        </w:rPr>
        <w:t>технічні</w:t>
      </w:r>
      <w:proofErr w:type="spellEnd"/>
      <w:r w:rsidRPr="00CE593A">
        <w:rPr>
          <w:rFonts w:eastAsia="Calibri"/>
          <w:lang w:val="ru-RU" w:eastAsia="en-US"/>
        </w:rPr>
        <w:t xml:space="preserve">  </w:t>
      </w:r>
      <w:proofErr w:type="spellStart"/>
      <w:r w:rsidRPr="00CE593A">
        <w:rPr>
          <w:rFonts w:eastAsia="Calibri"/>
          <w:lang w:val="ru-RU" w:eastAsia="en-US"/>
        </w:rPr>
        <w:t>вимог</w:t>
      </w:r>
      <w:proofErr w:type="spellEnd"/>
      <w:r w:rsidRPr="00CE593A">
        <w:rPr>
          <w:rFonts w:eastAsia="Calibri"/>
          <w:lang w:eastAsia="en-US"/>
        </w:rPr>
        <w:t>и</w:t>
      </w:r>
    </w:p>
    <w:p w:rsidR="007F02B3" w:rsidRDefault="007F02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925"/>
        <w:gridCol w:w="1952"/>
        <w:gridCol w:w="4496"/>
        <w:gridCol w:w="1242"/>
      </w:tblGrid>
      <w:tr w:rsidR="001947A5" w:rsidRPr="001947A5" w:rsidTr="00610838">
        <w:trPr>
          <w:trHeight w:val="585"/>
        </w:trPr>
        <w:tc>
          <w:tcPr>
            <w:tcW w:w="543" w:type="dxa"/>
            <w:hideMark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>п/н</w:t>
            </w:r>
          </w:p>
        </w:tc>
        <w:tc>
          <w:tcPr>
            <w:tcW w:w="1784" w:type="dxa"/>
            <w:hideMark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1801" w:type="dxa"/>
            <w:hideMark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96" w:type="dxa"/>
            <w:hideMark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>Технічні вимоги</w:t>
            </w:r>
          </w:p>
        </w:tc>
        <w:tc>
          <w:tcPr>
            <w:tcW w:w="1231" w:type="dxa"/>
            <w:hideMark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 xml:space="preserve">Кількість, </w:t>
            </w:r>
            <w:proofErr w:type="spellStart"/>
            <w:r w:rsidRPr="001947A5">
              <w:rPr>
                <w:b/>
                <w:bCs/>
                <w:sz w:val="22"/>
                <w:szCs w:val="22"/>
              </w:rPr>
              <w:t>шт</w:t>
            </w:r>
            <w:proofErr w:type="spellEnd"/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Fuji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IX GP A3 в упаковці 1-1, СЄУ (арт.1390)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16704 Стоматологічний </w:t>
            </w:r>
            <w:proofErr w:type="spellStart"/>
            <w:r w:rsidRPr="001947A5">
              <w:rPr>
                <w:bCs/>
                <w:sz w:val="22"/>
                <w:szCs w:val="22"/>
              </w:rPr>
              <w:t>склойономірний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цемент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Традиційний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склоіономерний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цемент з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пакуємою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консистенцією. Чудовий вибір для таких показань: база при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сендвіч-техніці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>, нарощування кукси, відновлення цементу кореня, дитяча стоматологія. Максимально простий і невибагливий у роботі.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Гідрофільність, що дозволяє не застосовувати кофердам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Біосумісність</w:t>
            </w:r>
            <w:proofErr w:type="spellEnd"/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Максимальна простота в роботі, відсутня необхідність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адгезивної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947A5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947A5">
              <w:rPr>
                <w:sz w:val="22"/>
                <w:szCs w:val="22"/>
                <w:shd w:val="clear" w:color="auto" w:fill="FFFFFF"/>
              </w:rPr>
              <w:t>ідготовки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Одномоментне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внесення замішаного матеріалу в порожнину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Пакуєма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консистенція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Висока стійкість до стирання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Достатня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рентгеноконтрастність</w:t>
            </w:r>
            <w:proofErr w:type="spellEnd"/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84" w:type="dxa"/>
          </w:tcPr>
          <w:p w:rsid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Dentin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кондиціонер, 25 г (23.8 </w:t>
            </w:r>
            <w:proofErr w:type="spellStart"/>
            <w:r w:rsidRPr="001947A5">
              <w:rPr>
                <w:bCs/>
                <w:sz w:val="22"/>
                <w:szCs w:val="22"/>
              </w:rPr>
              <w:t>мл</w:t>
            </w:r>
            <w:proofErr w:type="spellEnd"/>
            <w:r w:rsidRPr="001947A5">
              <w:rPr>
                <w:bCs/>
                <w:sz w:val="22"/>
                <w:szCs w:val="22"/>
              </w:rPr>
              <w:t>), рідина (арт.150)</w:t>
            </w: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16704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10% розчин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поліакрилової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кислоти, що застосовується для видалення змазаного шару. Використання DENTIN CONDITIONER підсилює адгезію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склоіономерного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цементу, покращує крайове прилягання та знижує ризик виникнення чутливості.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Ефективне очищення твердих тканин зуба для забезпечення оптимальної хі</w:t>
            </w:r>
            <w:proofErr w:type="gramStart"/>
            <w:r w:rsidRPr="001947A5">
              <w:rPr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1947A5">
              <w:rPr>
                <w:sz w:val="22"/>
                <w:szCs w:val="22"/>
                <w:shd w:val="clear" w:color="auto" w:fill="FFFFFF"/>
              </w:rPr>
              <w:t>ічної адгезії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Формування додаткових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мікромеханічних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зв'язків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Зниження ризику виникнення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постопераційної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чутливості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Fuji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Varnish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10г (арт.156)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45294 Лак для покриття стоматологічного </w:t>
            </w:r>
            <w:proofErr w:type="spellStart"/>
            <w:r w:rsidRPr="001947A5">
              <w:rPr>
                <w:bCs/>
                <w:sz w:val="22"/>
                <w:szCs w:val="22"/>
              </w:rPr>
              <w:t>пломбувального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матеріалу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Захисний лак хімічного затвердіння, що використовується при виконанні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склоіономерних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реставрацій для запобігання потрапляння надлишкової вологи, або передчасного висихання поверхні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цемента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Легкість застосування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Невисока собівартість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947A5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947A5">
              <w:rPr>
                <w:sz w:val="22"/>
                <w:szCs w:val="22"/>
                <w:shd w:val="clear" w:color="auto" w:fill="FFFFFF"/>
              </w:rPr>
              <w:t xml:space="preserve">ідвищення естетичності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склоіономерних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цементів</w:t>
            </w:r>
            <w:proofErr w:type="spellEnd"/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GC </w:t>
            </w:r>
            <w:proofErr w:type="spellStart"/>
            <w:r w:rsidRPr="001947A5">
              <w:rPr>
                <w:bCs/>
                <w:sz w:val="22"/>
                <w:szCs w:val="22"/>
              </w:rPr>
              <w:t>Tooth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Mousse</w:t>
            </w:r>
            <w:proofErr w:type="spellEnd"/>
            <w:r w:rsidRPr="001947A5">
              <w:rPr>
                <w:bCs/>
                <w:sz w:val="22"/>
                <w:szCs w:val="22"/>
              </w:rPr>
              <w:t>, Туті-Фруті, СЄУ (арт.11690)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45232  Дентальний покрив для зменшення чутливості зубів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>Гель-крем для зубів TOOTH MOUSSE призначений для зміцнення та відновлення тканин зуба. Є дуже ефективним засобом у боротьбі з чутливістю емалі та дентину до кислої, солодкої, гарячої або</w:t>
            </w:r>
            <w:r w:rsidR="00BD75B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холодної їжі. Має потужний профілактичний ефект.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Ремінералізація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тканин зуба, а також перешкоджання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демінералізації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в майбутньому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Запобігання розвитку первинних каріозних уражень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Зниження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гіперчутливості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шляхом запечатування тріщин в емалі та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дентинних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канальців</w:t>
            </w:r>
            <w:proofErr w:type="gramStart"/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Б</w:t>
            </w:r>
            <w:proofErr w:type="gramEnd"/>
            <w:r w:rsidRPr="001947A5">
              <w:rPr>
                <w:sz w:val="22"/>
                <w:szCs w:val="22"/>
                <w:shd w:val="clear" w:color="auto" w:fill="FFFFFF"/>
              </w:rPr>
              <w:t>іосумісність</w:t>
            </w:r>
            <w:proofErr w:type="spellEnd"/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Максимальна простота нанесення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Приємні аромати (полуниця, диня, м'ята, ваніль,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мультифрукт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Дентин паста, 50 г (арт.41149)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16704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Цемент для тимчасового пломбування (</w:t>
            </w:r>
            <w:proofErr w:type="spellStart"/>
            <w:r w:rsidRPr="001947A5">
              <w:rPr>
                <w:bCs/>
                <w:sz w:val="22"/>
                <w:szCs w:val="22"/>
              </w:rPr>
              <w:t>безевгенольна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дентин-паста). Не викликає алергічних реакцій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Девiлат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(арт.42501)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36095 Матеріал </w:t>
            </w:r>
            <w:proofErr w:type="spellStart"/>
            <w:r w:rsidRPr="001947A5">
              <w:rPr>
                <w:bCs/>
                <w:sz w:val="22"/>
                <w:szCs w:val="22"/>
              </w:rPr>
              <w:t>пломбувальний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ендодонтичний</w:t>
            </w:r>
            <w:proofErr w:type="spellEnd"/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Паста для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девіталізації</w:t>
            </w:r>
            <w:proofErr w:type="spellEnd"/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Матеріал стоматологічний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Devilat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без миш'яку являє собою готову до застосування пасту білого кольору, яка містить: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параформальдегід – антисептик,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коагулюючий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білки, забезпечуючи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девіталізацію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пульповой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тканини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лідокаїну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гідрохлорид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– локально анестезуючий засіб, який знижує ймовірність виникнення хворобливих реакцій при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девіталізації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пульпи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>камфору, яка має протимікробну, знеболювальну та протизапальну дію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Стомат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1947A5">
              <w:rPr>
                <w:bCs/>
                <w:sz w:val="22"/>
                <w:szCs w:val="22"/>
              </w:rPr>
              <w:t>матерiал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UltraCal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® XS </w:t>
            </w:r>
            <w:proofErr w:type="spellStart"/>
            <w:r w:rsidRPr="001947A5">
              <w:rPr>
                <w:bCs/>
                <w:sz w:val="22"/>
                <w:szCs w:val="22"/>
              </w:rPr>
              <w:t>шпр</w:t>
            </w:r>
            <w:proofErr w:type="spellEnd"/>
            <w:r w:rsidRPr="001947A5">
              <w:rPr>
                <w:bCs/>
                <w:sz w:val="22"/>
                <w:szCs w:val="22"/>
              </w:rPr>
              <w:t>. 1.2мл арт. 5117 (</w:t>
            </w:r>
            <w:proofErr w:type="spellStart"/>
            <w:r w:rsidRPr="001947A5">
              <w:rPr>
                <w:bCs/>
                <w:sz w:val="22"/>
                <w:szCs w:val="22"/>
              </w:rPr>
              <w:t>Ультрадент</w:t>
            </w:r>
            <w:proofErr w:type="spellEnd"/>
            <w:r w:rsidRPr="001947A5">
              <w:rPr>
                <w:bCs/>
                <w:sz w:val="22"/>
                <w:szCs w:val="22"/>
              </w:rPr>
              <w:t>) (арт.41410)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36095 Матеріал </w:t>
            </w:r>
            <w:proofErr w:type="spellStart"/>
            <w:r w:rsidRPr="001947A5">
              <w:rPr>
                <w:bCs/>
                <w:sz w:val="22"/>
                <w:szCs w:val="22"/>
              </w:rPr>
              <w:t>пломбувальний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ендодонтичний</w:t>
            </w:r>
            <w:proofErr w:type="spellEnd"/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Лікувальна </w:t>
            </w:r>
            <w:proofErr w:type="spellStart"/>
            <w:r w:rsidRPr="001947A5">
              <w:rPr>
                <w:bCs/>
                <w:sz w:val="22"/>
                <w:szCs w:val="22"/>
              </w:rPr>
              <w:t>рентгенконтрастна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прокладка на основі гідроксиду кальцію, що містить </w:t>
            </w:r>
            <w:proofErr w:type="spellStart"/>
            <w:r w:rsidRPr="001947A5">
              <w:rPr>
                <w:bCs/>
                <w:sz w:val="22"/>
                <w:szCs w:val="22"/>
              </w:rPr>
              <w:t>гідроксилапатит</w:t>
            </w:r>
            <w:proofErr w:type="spellEnd"/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784" w:type="dxa"/>
          </w:tcPr>
          <w:p w:rsid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Лiквiдез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3% (арт.42967)</w:t>
            </w: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45059 </w:t>
            </w:r>
            <w:proofErr w:type="spellStart"/>
            <w:r w:rsidRPr="001947A5">
              <w:rPr>
                <w:bCs/>
                <w:sz w:val="22"/>
                <w:szCs w:val="22"/>
              </w:rPr>
              <w:t>Дезенфікувальний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засіб 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Розчин </w:t>
            </w:r>
            <w:proofErr w:type="spellStart"/>
            <w:r w:rsidRPr="001947A5">
              <w:rPr>
                <w:bCs/>
                <w:sz w:val="22"/>
                <w:szCs w:val="22"/>
              </w:rPr>
              <w:t>гіпохлориту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натрію 5% для промивання кореневих каналів порожнин зубів верхньої та нижньої щелепи як антибактеріальний засіб після лікування запальних процесів та інструментальної обробки каналу.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ІОНОСІТ, 1 </w:t>
            </w:r>
            <w:proofErr w:type="spellStart"/>
            <w:r w:rsidRPr="001947A5">
              <w:rPr>
                <w:bCs/>
                <w:sz w:val="22"/>
                <w:szCs w:val="22"/>
              </w:rPr>
              <w:t>шпр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х 0.33 г (арт.1639)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16182 Зубна прокладка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Компомерний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підкладочний матеріал світлового затвердіння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1947A5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</w:tcPr>
          <w:p w:rsid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Гель </w:t>
            </w:r>
            <w:proofErr w:type="spellStart"/>
            <w:r w:rsidRPr="001947A5">
              <w:rPr>
                <w:bCs/>
                <w:sz w:val="22"/>
                <w:szCs w:val="22"/>
              </w:rPr>
              <w:t>труюючий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LP-</w:t>
            </w:r>
            <w:proofErr w:type="spellStart"/>
            <w:r w:rsidRPr="001947A5">
              <w:rPr>
                <w:bCs/>
                <w:sz w:val="22"/>
                <w:szCs w:val="22"/>
              </w:rPr>
              <w:t>gel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8гх2шт (арт.43133)</w:t>
            </w: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36153, Стоматологічний травильний розчин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Призначений для застосування в терапевтичній стоматології для травлення емалі та дентину перед пломбуванням каріозних порожнин. </w:t>
            </w:r>
          </w:p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Склад та основні властивості:</w:t>
            </w:r>
          </w:p>
          <w:p w:rsidR="001947A5" w:rsidRPr="001947A5" w:rsidRDefault="001947A5" w:rsidP="001947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Гель містить 37% фармакопейної ортофосфорної кислоти, тиксотропний загусник, стабілізатор консистенції та барвник. </w:t>
            </w:r>
          </w:p>
          <w:p w:rsidR="001947A5" w:rsidRPr="001947A5" w:rsidRDefault="001947A5" w:rsidP="001947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7A5">
              <w:rPr>
                <w:rFonts w:ascii="Times New Roman" w:eastAsia="Times New Roman" w:hAnsi="Times New Roman" w:cs="Times New Roman"/>
                <w:bCs/>
                <w:lang w:eastAsia="ru-RU"/>
              </w:rPr>
              <w:t>Гель легко видавлюється зі шприца і наноситься на поверхню зуба, що протруюється, не стікає з неї, добре помітний завдяки блакитному забарвленню.</w:t>
            </w:r>
          </w:p>
          <w:p w:rsidR="001947A5" w:rsidRPr="001947A5" w:rsidRDefault="001947A5" w:rsidP="001947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7A5">
              <w:rPr>
                <w:rFonts w:ascii="Times New Roman" w:eastAsia="Times New Roman" w:hAnsi="Times New Roman" w:cs="Times New Roman"/>
                <w:bCs/>
                <w:lang w:eastAsia="ru-RU"/>
              </w:rPr>
              <w:t>Застосовується в техніці ступінчастого травлення: спочатку гель наносять тільки на емаль, а через 15-20 с на дентин і витримують ще 20 с. Після цього змивають водою від стоматологічної установки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1263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84" w:type="dxa"/>
          </w:tcPr>
          <w:p w:rsid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- каталожний номер 51202 </w:t>
            </w:r>
            <w:proofErr w:type="spellStart"/>
            <w:r w:rsidRPr="001947A5">
              <w:rPr>
                <w:bCs/>
                <w:sz w:val="22"/>
                <w:szCs w:val="22"/>
              </w:rPr>
              <w:t>Adper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™ </w:t>
            </w:r>
            <w:proofErr w:type="spellStart"/>
            <w:r w:rsidRPr="001947A5">
              <w:rPr>
                <w:bCs/>
                <w:sz w:val="22"/>
                <w:szCs w:val="22"/>
              </w:rPr>
              <w:t>Single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Bond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2 </w:t>
            </w:r>
            <w:proofErr w:type="spellStart"/>
            <w:r w:rsidRPr="001947A5">
              <w:rPr>
                <w:bCs/>
                <w:sz w:val="22"/>
                <w:szCs w:val="22"/>
              </w:rPr>
              <w:t>Адгезив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(арт.6010)</w:t>
            </w:r>
          </w:p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42483 Дентин клей</w:t>
            </w:r>
            <w:bookmarkStart w:id="0" w:name="_GoBack"/>
            <w:bookmarkEnd w:id="0"/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Адгезив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для техніки тотального протравлювання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Adper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™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Single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Bond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2</w:t>
            </w: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Gradia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Direct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LoFlo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A1 1 шприц, СЄУ (арт.8143)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38789 Матеріал стоматологічний для наповнення, на основі полімеру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Перший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низькотекучий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реставраційний матеріал світлового затвердіння в асортименті компанії GC. Застосовується не тільки для реставрацій V класу і як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адаптуючий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шар, але і для порожнин I, II і III класу. Характеризується підвищеною міцністю та має високу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рентгеноконтрастність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(технологія HDR).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Висока </w:t>
            </w:r>
            <w:proofErr w:type="gramStart"/>
            <w:r w:rsidRPr="001947A5">
              <w:rPr>
                <w:sz w:val="22"/>
                <w:szCs w:val="22"/>
                <w:shd w:val="clear" w:color="auto" w:fill="FFFFFF"/>
              </w:rPr>
              <w:t>ст</w:t>
            </w:r>
            <w:proofErr w:type="gramEnd"/>
            <w:r w:rsidRPr="001947A5">
              <w:rPr>
                <w:sz w:val="22"/>
                <w:szCs w:val="22"/>
                <w:shd w:val="clear" w:color="auto" w:fill="FFFFFF"/>
              </w:rPr>
              <w:t>ійкість до розтріскування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Висока зносостійкість, яку можна порівняти з параметрами сучасних композитів для жувальної групи зубів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Збалансовані фізичні властивості (в'язкість і тиксотропність)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Широкий вибір відтінків, два рівня </w:t>
            </w:r>
            <w:r w:rsidRPr="001947A5">
              <w:rPr>
                <w:sz w:val="22"/>
                <w:szCs w:val="22"/>
                <w:shd w:val="clear" w:color="auto" w:fill="FFFFFF"/>
              </w:rPr>
              <w:lastRenderedPageBreak/>
              <w:t>світлопроникності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Высока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рентгеноконтрастність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(вперше застосована технологія HDR)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</w:p>
        </w:tc>
      </w:tr>
      <w:tr w:rsidR="001947A5" w:rsidRPr="001947A5" w:rsidTr="001947A5">
        <w:trPr>
          <w:trHeight w:val="544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47A5" w:rsidRPr="001947A5" w:rsidRDefault="001947A5" w:rsidP="001947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Gradia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Direct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AO3 у  шприці, СЄУ (арт.4775)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38764 </w:t>
            </w:r>
            <w:proofErr w:type="spellStart"/>
            <w:r w:rsidRPr="001947A5">
              <w:rPr>
                <w:bCs/>
                <w:sz w:val="22"/>
                <w:szCs w:val="22"/>
              </w:rPr>
              <w:t>Світлотвердна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композитна смола, що відновлює зуби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Популярний реставраційний композит світлового затвердіння. Призначений для реставрацій порожнин I, II (GRADIA DIRECT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Posterior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) та III, IV, V класів (GRADIA DIRECT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Anterior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>). Максимальна простота підбору відтінку, легкість у моделюванні та поліруванні зробили цей матеріал одним з найвідоміших на українському стоматологічному ринку.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GRADIA DIRECT </w:t>
            </w:r>
            <w:proofErr w:type="spellStart"/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Anterior</w:t>
            </w:r>
            <w:proofErr w:type="spellEnd"/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Чудова естетика та гладка поверхня реставрацій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Бездоганна відповідність за кольорами і адаптація до природного відтінку тканин зуба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Збільшений робочий час завдяки низькій чутливості до зовнішніх джерел освітлення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Збалансована в'язкість забезпечує чудові робочі властивості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1947A5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Gradia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Direct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P-A3 у  шприці, СЄУ (арт.4789)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38764 </w:t>
            </w:r>
            <w:proofErr w:type="spellStart"/>
            <w:r w:rsidRPr="001947A5">
              <w:rPr>
                <w:bCs/>
                <w:sz w:val="22"/>
                <w:szCs w:val="22"/>
              </w:rPr>
              <w:t>Світлотвердна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композитна смола, що відновлює зуби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Популярний реставраційний композит світлового затвердіння. Призначений для реставрацій порожнин I, II (GRADIA DIRECT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Posterior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) та III, IV, V класів (GRADIA DIRECT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Anterior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>). Максимальна простота підбору відтінку, легкість у моделюванні та поліруванні зробили цей матеріал одним з найвідоміших на українському стоматологічному ринку.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GRADIA DIRECT </w:t>
            </w:r>
            <w:proofErr w:type="spellStart"/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Posterior</w:t>
            </w:r>
            <w:proofErr w:type="spellEnd"/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</w:rPr>
              <w:t>✔</w:t>
            </w:r>
            <w:r w:rsidRPr="001947A5">
              <w:rPr>
                <w:sz w:val="22"/>
                <w:szCs w:val="22"/>
              </w:rPr>
              <w:t xml:space="preserve"> Видатні механічні характеристики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</w:rPr>
              <w:t>✔</w:t>
            </w:r>
            <w:r w:rsidRPr="001947A5">
              <w:rPr>
                <w:sz w:val="22"/>
                <w:szCs w:val="22"/>
              </w:rPr>
              <w:t xml:space="preserve"> Висока міцність на стискання запобігає </w:t>
            </w:r>
            <w:proofErr w:type="spellStart"/>
            <w:r w:rsidRPr="001947A5">
              <w:rPr>
                <w:sz w:val="22"/>
                <w:szCs w:val="22"/>
              </w:rPr>
              <w:t>сколам</w:t>
            </w:r>
            <w:proofErr w:type="spellEnd"/>
            <w:r w:rsidRPr="001947A5">
              <w:rPr>
                <w:sz w:val="22"/>
                <w:szCs w:val="22"/>
              </w:rPr>
              <w:t xml:space="preserve"> та розтріскуванню матеріалу при підвищеному </w:t>
            </w:r>
            <w:proofErr w:type="spellStart"/>
            <w:r w:rsidRPr="001947A5">
              <w:rPr>
                <w:sz w:val="22"/>
                <w:szCs w:val="22"/>
              </w:rPr>
              <w:t>оклюзійному</w:t>
            </w:r>
            <w:proofErr w:type="spellEnd"/>
            <w:r w:rsidRPr="001947A5">
              <w:rPr>
                <w:sz w:val="22"/>
                <w:szCs w:val="22"/>
              </w:rPr>
              <w:t xml:space="preserve"> навантаженні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</w:rPr>
              <w:t>✔</w:t>
            </w:r>
            <w:r w:rsidRPr="001947A5">
              <w:rPr>
                <w:sz w:val="22"/>
                <w:szCs w:val="22"/>
              </w:rPr>
              <w:t xml:space="preserve"> Чудова </w:t>
            </w:r>
            <w:proofErr w:type="spellStart"/>
            <w:r w:rsidRPr="001947A5">
              <w:rPr>
                <w:sz w:val="22"/>
                <w:szCs w:val="22"/>
              </w:rPr>
              <w:t>пакуємість</w:t>
            </w:r>
            <w:proofErr w:type="spellEnd"/>
            <w:r w:rsidRPr="001947A5">
              <w:rPr>
                <w:sz w:val="22"/>
                <w:szCs w:val="22"/>
              </w:rPr>
              <w:t xml:space="preserve"> є перевагою при реставраціях порожнин I-II класів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</w:rPr>
              <w:t>✔</w:t>
            </w:r>
            <w:r w:rsidRPr="001947A5">
              <w:rPr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</w:rPr>
              <w:t>Рентгеноконтрастність</w:t>
            </w:r>
            <w:proofErr w:type="spellEnd"/>
            <w:r w:rsidRPr="001947A5">
              <w:rPr>
                <w:sz w:val="22"/>
                <w:szCs w:val="22"/>
              </w:rPr>
              <w:t xml:space="preserve"> полегшує діагностику</w:t>
            </w: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4179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ЕНДОМЕТАЗОН, 14 г + 10 </w:t>
            </w:r>
            <w:proofErr w:type="spellStart"/>
            <w:r w:rsidRPr="001947A5">
              <w:rPr>
                <w:bCs/>
                <w:sz w:val="22"/>
                <w:szCs w:val="22"/>
              </w:rPr>
              <w:t>мл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(арт.1163)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36095 Матеріал </w:t>
            </w:r>
            <w:proofErr w:type="spellStart"/>
            <w:r w:rsidRPr="001947A5">
              <w:rPr>
                <w:bCs/>
                <w:sz w:val="22"/>
                <w:szCs w:val="22"/>
              </w:rPr>
              <w:t>пломбувальний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ендодонтичний</w:t>
            </w:r>
            <w:proofErr w:type="spellEnd"/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Пломбувальний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матеріал для кореневих каналів, є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неабсорбуючим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нефарбуючим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зуб матеріалом на основі окису цинку-евгенолу з додаванням різних компонентів: 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Тимола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йодованого та сульфату барію для збільшення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рентгеноконтрастності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та запобігання усадці. 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Параформальдегід для запобігання можливому бактеріальному зараженню 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Pr="001947A5">
              <w:rPr>
                <w:sz w:val="22"/>
                <w:szCs w:val="22"/>
                <w:shd w:val="clear" w:color="auto" w:fill="FFFFFF"/>
              </w:rPr>
              <w:t>Кортикостероїди для зниження хворобливих відчуттів, що часто спостерігаються, коли для пломбування кореневих каналів використовуються пасти, що містять окис цинку і евгенол</w:t>
            </w:r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>Показання для застосування: Пломбування кореневих каналів, при використанні однієї пасти або зі штифтом.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7A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Fuji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IX GP A3 в упаковці 1-1, СЄУ (арт.1390)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16704 Стоматологічний </w:t>
            </w:r>
            <w:proofErr w:type="spellStart"/>
            <w:r w:rsidRPr="001947A5">
              <w:rPr>
                <w:bCs/>
                <w:sz w:val="22"/>
                <w:szCs w:val="22"/>
              </w:rPr>
              <w:t>склойономірний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цемент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Традиційний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склоіономерний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цемент з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пакуємою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консистенцією. Чудовий вибір для таких показань: база при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сендвіч-техніці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>, нарощування кукси, відновлення цементу кореня, дитяча стоматологія. Максимально простий і невибагливий у роботі.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Гідрофільність, що дозволяє не застосовувати кофердам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Біосумісність</w:t>
            </w:r>
            <w:proofErr w:type="spellEnd"/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Максимальна простота в роботі, відсутня необхідність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адгезивної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947A5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947A5">
              <w:rPr>
                <w:sz w:val="22"/>
                <w:szCs w:val="22"/>
                <w:shd w:val="clear" w:color="auto" w:fill="FFFFFF"/>
              </w:rPr>
              <w:t>ідготовки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Одномоментне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внесення замішаного матеріалу в порожнину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Пакуєма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консистенція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Висока стійкість до стирання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 Достатня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рентгеноконтрастність</w:t>
            </w:r>
            <w:proofErr w:type="spellEnd"/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Дентин паста, 50 г (арт.41149)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16704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Цемент для тимчасового пломбування (</w:t>
            </w:r>
            <w:proofErr w:type="spellStart"/>
            <w:r w:rsidRPr="001947A5">
              <w:rPr>
                <w:bCs/>
                <w:sz w:val="22"/>
                <w:szCs w:val="22"/>
              </w:rPr>
              <w:t>безевгенольна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дентин-паста). Не викликає алергічних реакцій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4" w:type="dxa"/>
          </w:tcPr>
          <w:p w:rsid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Девiлат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(арт.42501)</w:t>
            </w: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Default="001947A5" w:rsidP="00610838">
            <w:pPr>
              <w:rPr>
                <w:bCs/>
                <w:sz w:val="22"/>
                <w:szCs w:val="22"/>
              </w:rPr>
            </w:pPr>
          </w:p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36095 Матеріал </w:t>
            </w:r>
            <w:proofErr w:type="spellStart"/>
            <w:r w:rsidRPr="001947A5">
              <w:rPr>
                <w:bCs/>
                <w:sz w:val="22"/>
                <w:szCs w:val="22"/>
              </w:rPr>
              <w:t>пломбувальний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ендодонтичний</w:t>
            </w:r>
            <w:proofErr w:type="spellEnd"/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 xml:space="preserve">Паста для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девіталізації</w:t>
            </w:r>
            <w:proofErr w:type="spellEnd"/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</w:p>
          <w:p w:rsidR="001947A5" w:rsidRPr="001947A5" w:rsidRDefault="001947A5" w:rsidP="00610838">
            <w:pPr>
              <w:shd w:val="clear" w:color="auto" w:fill="FFFFFF"/>
              <w:spacing w:line="270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947A5">
              <w:rPr>
                <w:b/>
                <w:bCs/>
                <w:sz w:val="22"/>
                <w:szCs w:val="22"/>
                <w:bdr w:val="none" w:sz="0" w:space="0" w:color="auto" w:frame="1"/>
              </w:rPr>
              <w:t>Властивості та переваги</w:t>
            </w: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Матеріал стоматологічний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Devilat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без миш'яку являє собою готову до застосування пасту білого кольору, яка містить: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 xml:space="preserve">параформальдегід – антисептик,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коагулюючий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білки, забезпечуючи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девіталізацію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пульповой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тканини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лідокаїну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гідрохлорид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– локально анестезуючий засіб, який знижує ймовірність виникнення хворобливих реакцій при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девіталізації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пульпи</w:t>
            </w:r>
            <w:r w:rsidRPr="001947A5">
              <w:rPr>
                <w:sz w:val="22"/>
                <w:szCs w:val="22"/>
              </w:rPr>
              <w:br/>
            </w: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</w:rPr>
              <w:t>камфору, яка має протимікробну, знеболювальну та протизапальну дію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Лiквiдез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3% (арт.42967)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45059 </w:t>
            </w:r>
            <w:proofErr w:type="spellStart"/>
            <w:r w:rsidRPr="001947A5">
              <w:rPr>
                <w:bCs/>
                <w:sz w:val="22"/>
                <w:szCs w:val="22"/>
              </w:rPr>
              <w:t>Дезенфікувальний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засіб 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Розчин </w:t>
            </w:r>
            <w:proofErr w:type="spellStart"/>
            <w:r w:rsidRPr="001947A5">
              <w:rPr>
                <w:bCs/>
                <w:sz w:val="22"/>
                <w:szCs w:val="22"/>
              </w:rPr>
              <w:t>гіпохлориту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натрію 5% для промивання кореневих каналів порожнин зубів верхньої та нижньої щелепи як антибактеріальний засіб після лікування запальних процесів та інструментальної обробки каналу.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ІОНОСІТ, 1 </w:t>
            </w:r>
            <w:proofErr w:type="spellStart"/>
            <w:r w:rsidRPr="001947A5">
              <w:rPr>
                <w:bCs/>
                <w:sz w:val="22"/>
                <w:szCs w:val="22"/>
              </w:rPr>
              <w:t>шпр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х 0.33 г (арт.1639)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16182 Зубна прокладка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Компомерний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підкладочний матеріал світлового затвердіння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Гель </w:t>
            </w:r>
            <w:proofErr w:type="spellStart"/>
            <w:r w:rsidRPr="001947A5">
              <w:rPr>
                <w:bCs/>
                <w:sz w:val="22"/>
                <w:szCs w:val="22"/>
              </w:rPr>
              <w:t>труюючий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LP-</w:t>
            </w:r>
            <w:proofErr w:type="spellStart"/>
            <w:r w:rsidRPr="001947A5">
              <w:rPr>
                <w:bCs/>
                <w:sz w:val="22"/>
                <w:szCs w:val="22"/>
              </w:rPr>
              <w:t>gel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8гх2шт (арт.43133)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36153, Стоматологічний травильний розчин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Призначений для застосування в терапевтичній стоматології для травлення емалі та дентину перед пломбуванням каріозних порожнин. </w:t>
            </w:r>
          </w:p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Склад та основні властивості:</w:t>
            </w:r>
          </w:p>
          <w:p w:rsidR="001947A5" w:rsidRPr="001947A5" w:rsidRDefault="001947A5" w:rsidP="001947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Гель містить 37% фармакопейної ортофосфорної кислоти, тиксотропний загусник, стабілізатор консистенції та барвник. </w:t>
            </w:r>
          </w:p>
          <w:p w:rsidR="001947A5" w:rsidRPr="001947A5" w:rsidRDefault="001947A5" w:rsidP="001947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7A5">
              <w:rPr>
                <w:rFonts w:ascii="Times New Roman" w:eastAsia="Times New Roman" w:hAnsi="Times New Roman" w:cs="Times New Roman"/>
                <w:bCs/>
                <w:lang w:eastAsia="ru-RU"/>
              </w:rPr>
              <w:t>Гель легко видавлюється зі шприца і наноситься на поверхню зуба, що протруюється, не стікає з неї, добре помітний завдяки блакитному забарвленню.</w:t>
            </w:r>
          </w:p>
          <w:p w:rsidR="001947A5" w:rsidRPr="001947A5" w:rsidRDefault="001947A5" w:rsidP="001947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47A5">
              <w:rPr>
                <w:rFonts w:ascii="Times New Roman" w:eastAsia="Times New Roman" w:hAnsi="Times New Roman" w:cs="Times New Roman"/>
                <w:bCs/>
                <w:lang w:eastAsia="ru-RU"/>
              </w:rPr>
              <w:t>Застосовується в техніці ступінчастого травлення: спочатку гель наносять тільки на емаль, а через 15-20 с на дентин і витримують ще 20 с. Після цього змивають водою від стоматологічної установки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- каталожний номер 51202 </w:t>
            </w:r>
            <w:proofErr w:type="spellStart"/>
            <w:r w:rsidRPr="001947A5">
              <w:rPr>
                <w:bCs/>
                <w:sz w:val="22"/>
                <w:szCs w:val="22"/>
              </w:rPr>
              <w:t>Adper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™ </w:t>
            </w:r>
            <w:proofErr w:type="spellStart"/>
            <w:r w:rsidRPr="001947A5">
              <w:rPr>
                <w:bCs/>
                <w:sz w:val="22"/>
                <w:szCs w:val="22"/>
              </w:rPr>
              <w:t>Single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Bond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2 </w:t>
            </w:r>
            <w:proofErr w:type="spellStart"/>
            <w:r w:rsidRPr="001947A5">
              <w:rPr>
                <w:bCs/>
                <w:sz w:val="22"/>
                <w:szCs w:val="22"/>
              </w:rPr>
              <w:t>Адгезив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(арт.6010)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>42483 Дентин клей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Адгезив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для техніки тотального протравлювання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Adper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™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Single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</w:rPr>
              <w:t>Bond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</w:rPr>
              <w:t xml:space="preserve"> 2</w:t>
            </w:r>
          </w:p>
          <w:p w:rsidR="001947A5" w:rsidRPr="001947A5" w:rsidRDefault="001947A5" w:rsidP="00610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47A5" w:rsidRPr="001947A5" w:rsidTr="00610838">
        <w:trPr>
          <w:trHeight w:val="585"/>
        </w:trPr>
        <w:tc>
          <w:tcPr>
            <w:tcW w:w="543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84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proofErr w:type="spellStart"/>
            <w:r w:rsidRPr="001947A5">
              <w:rPr>
                <w:bCs/>
                <w:sz w:val="22"/>
                <w:szCs w:val="22"/>
              </w:rPr>
              <w:t>Спецiальний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стартовий </w:t>
            </w:r>
            <w:proofErr w:type="spellStart"/>
            <w:r w:rsidRPr="001947A5">
              <w:rPr>
                <w:bCs/>
                <w:sz w:val="22"/>
                <w:szCs w:val="22"/>
              </w:rPr>
              <w:t>набiр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47A5">
              <w:rPr>
                <w:bCs/>
                <w:sz w:val="22"/>
                <w:szCs w:val="22"/>
              </w:rPr>
              <w:t>Spectrum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ТРН 3 в шприцах (арт.41312)</w:t>
            </w:r>
          </w:p>
        </w:tc>
        <w:tc>
          <w:tcPr>
            <w:tcW w:w="1801" w:type="dxa"/>
          </w:tcPr>
          <w:p w:rsidR="001947A5" w:rsidRPr="001947A5" w:rsidRDefault="001947A5" w:rsidP="00610838">
            <w:pPr>
              <w:rPr>
                <w:bCs/>
                <w:sz w:val="22"/>
                <w:szCs w:val="22"/>
              </w:rPr>
            </w:pPr>
            <w:r w:rsidRPr="001947A5">
              <w:rPr>
                <w:bCs/>
                <w:sz w:val="22"/>
                <w:szCs w:val="22"/>
              </w:rPr>
              <w:t xml:space="preserve">38764 </w:t>
            </w:r>
            <w:proofErr w:type="spellStart"/>
            <w:r w:rsidRPr="001947A5">
              <w:rPr>
                <w:bCs/>
                <w:sz w:val="22"/>
                <w:szCs w:val="22"/>
              </w:rPr>
              <w:t>Світлотвердна</w:t>
            </w:r>
            <w:proofErr w:type="spellEnd"/>
            <w:r w:rsidRPr="001947A5">
              <w:rPr>
                <w:bCs/>
                <w:sz w:val="22"/>
                <w:szCs w:val="22"/>
              </w:rPr>
              <w:t xml:space="preserve"> композитна смола, що відновлює зуби</w:t>
            </w:r>
          </w:p>
        </w:tc>
        <w:tc>
          <w:tcPr>
            <w:tcW w:w="4496" w:type="dxa"/>
          </w:tcPr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sz w:val="22"/>
                <w:szCs w:val="22"/>
                <w:shd w:val="clear" w:color="auto" w:fill="FFFFFF"/>
              </w:rPr>
              <w:t>Універсальний реставраційний композит світлового затвердіння. Призначений для реставрацій всіх класів порожнин</w:t>
            </w:r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proofErr w:type="gram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Переваги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композитного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матеріалу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нового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покоління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- Спектрум TPH3: </w:t>
            </w:r>
            <w:proofErr w:type="gramEnd"/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  <w:lang w:val="ru-RU"/>
              </w:rPr>
              <w:t>✔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Висока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полірувальність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рахунок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наявності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наночастинок</w:t>
            </w:r>
            <w:proofErr w:type="spellEnd"/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  <w:lang w:val="ru-RU"/>
              </w:rPr>
              <w:t>✔</w:t>
            </w:r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Просто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моделюється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зручно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адаптується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порожнині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  <w:lang w:val="ru-RU"/>
              </w:rPr>
              <w:t>✔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Висока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ст</w:t>
            </w:r>
            <w:proofErr w:type="gram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ійкість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відколів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порожнин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всіх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класів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1947A5" w:rsidRPr="001947A5" w:rsidRDefault="001947A5" w:rsidP="00610838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1947A5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  <w:lang w:val="ru-RU"/>
              </w:rPr>
              <w:t>✔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Флюоресценція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>матеріалу</w:t>
            </w:r>
            <w:proofErr w:type="spellEnd"/>
            <w:r w:rsidRPr="001947A5">
              <w:rPr>
                <w:sz w:val="22"/>
                <w:szCs w:val="22"/>
                <w:shd w:val="clear" w:color="auto" w:fill="FFFFFF"/>
                <w:lang w:val="ru-RU"/>
              </w:rPr>
              <w:t xml:space="preserve"> як у натурального зуба</w:t>
            </w:r>
          </w:p>
        </w:tc>
        <w:tc>
          <w:tcPr>
            <w:tcW w:w="1231" w:type="dxa"/>
          </w:tcPr>
          <w:p w:rsidR="001947A5" w:rsidRPr="001947A5" w:rsidRDefault="001947A5" w:rsidP="006108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47A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</w:tbl>
    <w:p w:rsidR="001947A5" w:rsidRDefault="001947A5"/>
    <w:p w:rsidR="00E13815" w:rsidRPr="005101A8" w:rsidRDefault="00E13815" w:rsidP="00E13815">
      <w:pPr>
        <w:spacing w:after="200" w:line="276" w:lineRule="auto"/>
        <w:ind w:firstLine="708"/>
        <w:contextualSpacing/>
        <w:jc w:val="both"/>
        <w:rPr>
          <w:b/>
          <w:lang w:val="ru-RU"/>
        </w:rPr>
      </w:pPr>
      <w:proofErr w:type="spellStart"/>
      <w:r w:rsidRPr="005101A8">
        <w:rPr>
          <w:b/>
          <w:lang w:val="ru-RU"/>
        </w:rPr>
        <w:t>Вимоги</w:t>
      </w:r>
      <w:proofErr w:type="spellEnd"/>
      <w:r w:rsidRPr="005101A8">
        <w:rPr>
          <w:b/>
          <w:lang w:val="ru-RU"/>
        </w:rPr>
        <w:t xml:space="preserve"> до </w:t>
      </w:r>
      <w:proofErr w:type="spellStart"/>
      <w:r w:rsidRPr="005101A8">
        <w:rPr>
          <w:b/>
          <w:lang w:val="ru-RU"/>
        </w:rPr>
        <w:t>документації</w:t>
      </w:r>
      <w:proofErr w:type="spellEnd"/>
    </w:p>
    <w:p w:rsidR="00E13815" w:rsidRPr="005101A8" w:rsidRDefault="00E13815" w:rsidP="00E13815">
      <w:pPr>
        <w:spacing w:after="200" w:line="276" w:lineRule="auto"/>
        <w:ind w:firstLine="708"/>
        <w:contextualSpacing/>
        <w:jc w:val="both"/>
        <w:rPr>
          <w:b/>
          <w:u w:val="single"/>
          <w:lang w:val="ru-RU"/>
        </w:rPr>
      </w:pPr>
      <w:proofErr w:type="spellStart"/>
      <w:r w:rsidRPr="005101A8">
        <w:rPr>
          <w:u w:val="single"/>
          <w:lang w:val="ru-RU"/>
        </w:rPr>
        <w:t>Учасник</w:t>
      </w:r>
      <w:proofErr w:type="spellEnd"/>
      <w:r w:rsidRPr="005101A8">
        <w:rPr>
          <w:u w:val="single"/>
          <w:lang w:val="ru-RU"/>
        </w:rPr>
        <w:t xml:space="preserve"> повинен </w:t>
      </w:r>
      <w:proofErr w:type="spellStart"/>
      <w:r w:rsidRPr="005101A8">
        <w:rPr>
          <w:u w:val="single"/>
          <w:lang w:val="ru-RU"/>
        </w:rPr>
        <w:t>надати</w:t>
      </w:r>
      <w:proofErr w:type="spellEnd"/>
      <w:r w:rsidRPr="005101A8">
        <w:rPr>
          <w:u w:val="single"/>
          <w:lang w:val="ru-RU"/>
        </w:rPr>
        <w:t xml:space="preserve"> в </w:t>
      </w:r>
      <w:proofErr w:type="spellStart"/>
      <w:r w:rsidRPr="005101A8">
        <w:rPr>
          <w:u w:val="single"/>
          <w:lang w:val="ru-RU"/>
        </w:rPr>
        <w:t>свої</w:t>
      </w:r>
      <w:proofErr w:type="spellEnd"/>
      <w:r w:rsidRPr="005101A8">
        <w:rPr>
          <w:u w:val="single"/>
          <w:lang w:val="ru-RU"/>
        </w:rPr>
        <w:t xml:space="preserve"> </w:t>
      </w:r>
      <w:proofErr w:type="spellStart"/>
      <w:r w:rsidRPr="005101A8">
        <w:rPr>
          <w:u w:val="single"/>
          <w:lang w:val="ru-RU"/>
        </w:rPr>
        <w:t>пропозиції</w:t>
      </w:r>
      <w:proofErr w:type="spellEnd"/>
      <w:r w:rsidRPr="005101A8">
        <w:rPr>
          <w:u w:val="single"/>
          <w:lang w:val="ru-RU"/>
        </w:rPr>
        <w:t>:</w:t>
      </w:r>
    </w:p>
    <w:p w:rsidR="00E13815" w:rsidRPr="005101A8" w:rsidRDefault="00E13815" w:rsidP="00E13815">
      <w:pPr>
        <w:numPr>
          <w:ilvl w:val="0"/>
          <w:numId w:val="2"/>
        </w:numPr>
        <w:spacing w:after="200" w:line="276" w:lineRule="auto"/>
        <w:contextualSpacing/>
        <w:jc w:val="both"/>
        <w:rPr>
          <w:lang w:val="ru-RU" w:eastAsia="ar-SA"/>
        </w:rPr>
      </w:pPr>
      <w:r w:rsidRPr="005101A8">
        <w:rPr>
          <w:bCs/>
          <w:lang w:eastAsia="ar-SA"/>
        </w:rPr>
        <w:t xml:space="preserve">З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оригінали гарантійних листів виробників або їх офіційних представників (якщо їх повноваження поширюються на територію </w:t>
      </w:r>
      <w:proofErr w:type="spellStart"/>
      <w:r w:rsidRPr="005101A8">
        <w:rPr>
          <w:bCs/>
          <w:lang w:val="ru-RU" w:eastAsia="ar-SA"/>
        </w:rPr>
        <w:t>України</w:t>
      </w:r>
      <w:proofErr w:type="spellEnd"/>
      <w:r w:rsidRPr="005101A8">
        <w:rPr>
          <w:bCs/>
          <w:lang w:val="ru-RU" w:eastAsia="ar-SA"/>
        </w:rPr>
        <w:t xml:space="preserve">), </w:t>
      </w:r>
      <w:proofErr w:type="spellStart"/>
      <w:r w:rsidRPr="005101A8">
        <w:rPr>
          <w:bCs/>
          <w:lang w:val="ru-RU" w:eastAsia="ar-SA"/>
        </w:rPr>
        <w:t>якими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підтверджується</w:t>
      </w:r>
      <w:proofErr w:type="spellEnd"/>
      <w:r w:rsidRPr="005101A8">
        <w:rPr>
          <w:bCs/>
          <w:lang w:val="ru-RU" w:eastAsia="ar-SA"/>
        </w:rPr>
        <w:t xml:space="preserve"> те, </w:t>
      </w:r>
      <w:proofErr w:type="spellStart"/>
      <w:r w:rsidRPr="005101A8">
        <w:rPr>
          <w:bCs/>
          <w:lang w:val="ru-RU" w:eastAsia="ar-SA"/>
        </w:rPr>
        <w:t>що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Учасник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має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можливість</w:t>
      </w:r>
      <w:proofErr w:type="spellEnd"/>
      <w:r w:rsidRPr="005101A8">
        <w:rPr>
          <w:bCs/>
          <w:lang w:val="ru-RU" w:eastAsia="ar-SA"/>
        </w:rPr>
        <w:t xml:space="preserve"> поставки </w:t>
      </w:r>
      <w:proofErr w:type="spellStart"/>
      <w:r w:rsidRPr="005101A8">
        <w:rPr>
          <w:bCs/>
          <w:lang w:val="ru-RU" w:eastAsia="ar-SA"/>
        </w:rPr>
        <w:t>запропонованого</w:t>
      </w:r>
      <w:proofErr w:type="spellEnd"/>
      <w:r w:rsidRPr="005101A8">
        <w:rPr>
          <w:bCs/>
          <w:lang w:val="ru-RU" w:eastAsia="ar-SA"/>
        </w:rPr>
        <w:t xml:space="preserve"> товару для потреб </w:t>
      </w:r>
      <w:proofErr w:type="spellStart"/>
      <w:r w:rsidRPr="005101A8">
        <w:rPr>
          <w:bCs/>
          <w:lang w:val="ru-RU" w:eastAsia="ar-SA"/>
        </w:rPr>
        <w:t>Замовника</w:t>
      </w:r>
      <w:proofErr w:type="spellEnd"/>
      <w:r w:rsidRPr="005101A8">
        <w:rPr>
          <w:bCs/>
          <w:lang w:val="ru-RU" w:eastAsia="ar-SA"/>
        </w:rPr>
        <w:t xml:space="preserve"> у </w:t>
      </w:r>
      <w:proofErr w:type="spellStart"/>
      <w:r w:rsidRPr="005101A8">
        <w:rPr>
          <w:bCs/>
          <w:lang w:val="ru-RU" w:eastAsia="ar-SA"/>
        </w:rPr>
        <w:t>відповідній</w:t>
      </w:r>
      <w:proofErr w:type="spellEnd"/>
      <w:r w:rsidRPr="005101A8">
        <w:rPr>
          <w:bCs/>
          <w:lang w:val="ru-RU" w:eastAsia="ar-SA"/>
        </w:rPr>
        <w:t xml:space="preserve"> до </w:t>
      </w:r>
      <w:proofErr w:type="spellStart"/>
      <w:r w:rsidRPr="005101A8">
        <w:rPr>
          <w:bCs/>
          <w:lang w:val="ru-RU" w:eastAsia="ar-SA"/>
        </w:rPr>
        <w:t>вимог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цієї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документації</w:t>
      </w:r>
      <w:proofErr w:type="spellEnd"/>
      <w:r w:rsidRPr="005101A8">
        <w:rPr>
          <w:bCs/>
          <w:lang w:val="ru-RU" w:eastAsia="ar-SA"/>
        </w:rPr>
        <w:t xml:space="preserve">, </w:t>
      </w:r>
      <w:proofErr w:type="spellStart"/>
      <w:r w:rsidRPr="005101A8">
        <w:rPr>
          <w:bCs/>
          <w:lang w:val="ru-RU" w:eastAsia="ar-SA"/>
        </w:rPr>
        <w:t>кількості</w:t>
      </w:r>
      <w:proofErr w:type="spellEnd"/>
      <w:r w:rsidRPr="005101A8">
        <w:rPr>
          <w:bCs/>
          <w:lang w:val="ru-RU" w:eastAsia="ar-SA"/>
        </w:rPr>
        <w:t xml:space="preserve">, </w:t>
      </w:r>
      <w:proofErr w:type="spellStart"/>
      <w:r w:rsidRPr="005101A8">
        <w:rPr>
          <w:bCs/>
          <w:lang w:val="ru-RU" w:eastAsia="ar-SA"/>
        </w:rPr>
        <w:t>якості</w:t>
      </w:r>
      <w:proofErr w:type="spellEnd"/>
      <w:r w:rsidRPr="005101A8">
        <w:rPr>
          <w:bCs/>
          <w:lang w:val="ru-RU" w:eastAsia="ar-SA"/>
        </w:rPr>
        <w:t xml:space="preserve"> та у </w:t>
      </w:r>
      <w:proofErr w:type="spellStart"/>
      <w:r w:rsidRPr="005101A8">
        <w:rPr>
          <w:bCs/>
          <w:lang w:val="ru-RU" w:eastAsia="ar-SA"/>
        </w:rPr>
        <w:t>встановлені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терміни</w:t>
      </w:r>
      <w:proofErr w:type="spellEnd"/>
      <w:r w:rsidRPr="005101A8">
        <w:rPr>
          <w:bCs/>
          <w:lang w:val="ru-RU" w:eastAsia="ar-SA"/>
        </w:rPr>
        <w:t xml:space="preserve">. </w:t>
      </w:r>
      <w:proofErr w:type="spellStart"/>
      <w:r w:rsidRPr="005101A8">
        <w:rPr>
          <w:b/>
          <w:bCs/>
          <w:lang w:val="ru-RU" w:eastAsia="ar-SA"/>
        </w:rPr>
        <w:t>Гарантійний</w:t>
      </w:r>
      <w:proofErr w:type="spellEnd"/>
      <w:r w:rsidRPr="005101A8">
        <w:rPr>
          <w:b/>
          <w:bCs/>
          <w:lang w:val="ru-RU" w:eastAsia="ar-SA"/>
        </w:rPr>
        <w:t xml:space="preserve"> лист </w:t>
      </w:r>
      <w:proofErr w:type="spellStart"/>
      <w:r w:rsidRPr="005101A8">
        <w:rPr>
          <w:b/>
          <w:bCs/>
          <w:lang w:val="ru-RU" w:eastAsia="ar-SA"/>
        </w:rPr>
        <w:t>виробника</w:t>
      </w:r>
      <w:proofErr w:type="spellEnd"/>
      <w:r w:rsidRPr="005101A8">
        <w:rPr>
          <w:bCs/>
          <w:lang w:val="ru-RU" w:eastAsia="ar-SA"/>
        </w:rPr>
        <w:t xml:space="preserve"> повинен </w:t>
      </w:r>
      <w:proofErr w:type="spellStart"/>
      <w:r w:rsidRPr="005101A8">
        <w:rPr>
          <w:bCs/>
          <w:lang w:val="ru-RU" w:eastAsia="ar-SA"/>
        </w:rPr>
        <w:t>містити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посилання</w:t>
      </w:r>
      <w:proofErr w:type="spellEnd"/>
      <w:r w:rsidRPr="005101A8">
        <w:rPr>
          <w:bCs/>
          <w:lang w:val="ru-RU" w:eastAsia="ar-SA"/>
        </w:rPr>
        <w:t xml:space="preserve"> на </w:t>
      </w:r>
      <w:proofErr w:type="spellStart"/>
      <w:r w:rsidRPr="005101A8">
        <w:rPr>
          <w:bCs/>
          <w:lang w:val="ru-RU" w:eastAsia="ar-SA"/>
        </w:rPr>
        <w:t>повну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назву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учасника</w:t>
      </w:r>
      <w:proofErr w:type="spellEnd"/>
      <w:r w:rsidRPr="005101A8">
        <w:rPr>
          <w:bCs/>
          <w:lang w:val="ru-RU" w:eastAsia="ar-SA"/>
        </w:rPr>
        <w:t xml:space="preserve">, номер </w:t>
      </w:r>
      <w:proofErr w:type="spellStart"/>
      <w:r w:rsidRPr="005101A8">
        <w:rPr>
          <w:bCs/>
          <w:lang w:val="ru-RU" w:eastAsia="ar-SA"/>
        </w:rPr>
        <w:t>оголошення</w:t>
      </w:r>
      <w:proofErr w:type="spellEnd"/>
      <w:r w:rsidRPr="005101A8">
        <w:rPr>
          <w:bCs/>
          <w:lang w:val="ru-RU" w:eastAsia="ar-SA"/>
        </w:rPr>
        <w:t xml:space="preserve"> та номер </w:t>
      </w:r>
      <w:proofErr w:type="spellStart"/>
      <w:r w:rsidRPr="005101A8">
        <w:rPr>
          <w:bCs/>
          <w:lang w:val="ru-RU" w:eastAsia="ar-SA"/>
        </w:rPr>
        <w:t>офіційного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видання</w:t>
      </w:r>
      <w:proofErr w:type="spellEnd"/>
      <w:r w:rsidRPr="005101A8">
        <w:rPr>
          <w:bCs/>
          <w:lang w:val="ru-RU" w:eastAsia="ar-SA"/>
        </w:rPr>
        <w:t xml:space="preserve"> з </w:t>
      </w:r>
      <w:proofErr w:type="spellStart"/>
      <w:r w:rsidRPr="005101A8">
        <w:rPr>
          <w:bCs/>
          <w:lang w:val="ru-RU" w:eastAsia="ar-SA"/>
        </w:rPr>
        <w:t>питань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lastRenderedPageBreak/>
        <w:t>державних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закупівель</w:t>
      </w:r>
      <w:proofErr w:type="spellEnd"/>
      <w:r w:rsidRPr="005101A8">
        <w:rPr>
          <w:bCs/>
          <w:lang w:val="ru-RU" w:eastAsia="ar-SA"/>
        </w:rPr>
        <w:t xml:space="preserve">, де </w:t>
      </w:r>
      <w:proofErr w:type="spellStart"/>
      <w:r w:rsidRPr="005101A8">
        <w:rPr>
          <w:bCs/>
          <w:lang w:val="ru-RU" w:eastAsia="ar-SA"/>
        </w:rPr>
        <w:t>оприлюднене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це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оголошення</w:t>
      </w:r>
      <w:proofErr w:type="spellEnd"/>
      <w:r w:rsidRPr="005101A8">
        <w:rPr>
          <w:bCs/>
          <w:lang w:val="ru-RU" w:eastAsia="ar-SA"/>
        </w:rPr>
        <w:t xml:space="preserve">, а </w:t>
      </w:r>
      <w:proofErr w:type="spellStart"/>
      <w:r w:rsidRPr="005101A8">
        <w:rPr>
          <w:bCs/>
          <w:lang w:val="ru-RU" w:eastAsia="ar-SA"/>
        </w:rPr>
        <w:t>також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назву</w:t>
      </w:r>
      <w:proofErr w:type="spellEnd"/>
      <w:r w:rsidRPr="005101A8">
        <w:rPr>
          <w:bCs/>
          <w:lang w:val="ru-RU" w:eastAsia="ar-SA"/>
        </w:rPr>
        <w:t xml:space="preserve"> предмету </w:t>
      </w:r>
      <w:proofErr w:type="spellStart"/>
      <w:r w:rsidRPr="005101A8">
        <w:rPr>
          <w:bCs/>
          <w:lang w:val="ru-RU" w:eastAsia="ar-SA"/>
        </w:rPr>
        <w:t>закупі</w:t>
      </w:r>
      <w:proofErr w:type="gramStart"/>
      <w:r w:rsidRPr="005101A8">
        <w:rPr>
          <w:bCs/>
          <w:lang w:val="ru-RU" w:eastAsia="ar-SA"/>
        </w:rPr>
        <w:t>вл</w:t>
      </w:r>
      <w:proofErr w:type="gramEnd"/>
      <w:r w:rsidRPr="005101A8">
        <w:rPr>
          <w:bCs/>
          <w:lang w:val="ru-RU" w:eastAsia="ar-SA"/>
        </w:rPr>
        <w:t>і</w:t>
      </w:r>
      <w:proofErr w:type="spellEnd"/>
      <w:r w:rsidRPr="005101A8">
        <w:rPr>
          <w:bCs/>
          <w:lang w:val="ru-RU" w:eastAsia="ar-SA"/>
        </w:rPr>
        <w:t xml:space="preserve"> </w:t>
      </w:r>
      <w:proofErr w:type="spellStart"/>
      <w:r w:rsidRPr="005101A8">
        <w:rPr>
          <w:bCs/>
          <w:lang w:val="ru-RU" w:eastAsia="ar-SA"/>
        </w:rPr>
        <w:t>згідно</w:t>
      </w:r>
      <w:proofErr w:type="spellEnd"/>
      <w:r w:rsidRPr="005101A8">
        <w:rPr>
          <w:bCs/>
          <w:lang w:val="ru-RU" w:eastAsia="ar-SA"/>
        </w:rPr>
        <w:t xml:space="preserve"> з </w:t>
      </w:r>
      <w:proofErr w:type="spellStart"/>
      <w:r w:rsidRPr="005101A8">
        <w:rPr>
          <w:bCs/>
          <w:lang w:val="ru-RU" w:eastAsia="ar-SA"/>
        </w:rPr>
        <w:t>оголошенням</w:t>
      </w:r>
      <w:proofErr w:type="spellEnd"/>
      <w:r w:rsidRPr="005101A8">
        <w:rPr>
          <w:bCs/>
          <w:lang w:val="ru-RU" w:eastAsia="ar-SA"/>
        </w:rPr>
        <w:t>.</w:t>
      </w:r>
    </w:p>
    <w:p w:rsidR="00E13815" w:rsidRPr="005101A8" w:rsidRDefault="00E13815" w:rsidP="00E13815">
      <w:pPr>
        <w:numPr>
          <w:ilvl w:val="0"/>
          <w:numId w:val="2"/>
        </w:numPr>
        <w:spacing w:after="200" w:line="276" w:lineRule="auto"/>
        <w:contextualSpacing/>
        <w:jc w:val="both"/>
        <w:rPr>
          <w:lang w:val="ru-RU" w:eastAsia="ar-SA"/>
        </w:rPr>
      </w:pPr>
      <w:r w:rsidRPr="005101A8">
        <w:rPr>
          <w:color w:val="000000"/>
          <w:lang w:val="ru-RU" w:eastAsia="ar-SA"/>
        </w:rPr>
        <w:t xml:space="preserve">Товар повинен </w:t>
      </w:r>
      <w:proofErr w:type="spellStart"/>
      <w:r w:rsidRPr="005101A8">
        <w:rPr>
          <w:color w:val="000000"/>
          <w:lang w:val="ru-RU" w:eastAsia="ar-SA"/>
        </w:rPr>
        <w:t>передаватись</w:t>
      </w:r>
      <w:proofErr w:type="spellEnd"/>
      <w:r w:rsidRPr="005101A8">
        <w:rPr>
          <w:color w:val="000000"/>
          <w:lang w:val="ru-RU" w:eastAsia="ar-SA"/>
        </w:rPr>
        <w:t xml:space="preserve"> у заклад в </w:t>
      </w:r>
      <w:proofErr w:type="spellStart"/>
      <w:r w:rsidRPr="005101A8">
        <w:rPr>
          <w:color w:val="000000"/>
          <w:lang w:val="ru-RU" w:eastAsia="ar-SA"/>
        </w:rPr>
        <w:t>неушкодженій</w:t>
      </w:r>
      <w:proofErr w:type="spellEnd"/>
      <w:r w:rsidRPr="005101A8">
        <w:rPr>
          <w:color w:val="000000"/>
          <w:lang w:val="ru-RU" w:eastAsia="ar-SA"/>
        </w:rPr>
        <w:t xml:space="preserve"> </w:t>
      </w:r>
      <w:proofErr w:type="spellStart"/>
      <w:r w:rsidRPr="005101A8">
        <w:rPr>
          <w:color w:val="000000"/>
          <w:lang w:val="ru-RU" w:eastAsia="ar-SA"/>
        </w:rPr>
        <w:t>упаковці</w:t>
      </w:r>
      <w:proofErr w:type="spellEnd"/>
      <w:r w:rsidRPr="005101A8">
        <w:rPr>
          <w:color w:val="000000"/>
          <w:lang w:val="ru-RU" w:eastAsia="ar-SA"/>
        </w:rPr>
        <w:t>, як</w:t>
      </w:r>
      <w:proofErr w:type="spellStart"/>
      <w:r w:rsidRPr="005101A8">
        <w:rPr>
          <w:color w:val="000000"/>
          <w:lang w:eastAsia="ar-SA"/>
        </w:rPr>
        <w:t>ий</w:t>
      </w:r>
      <w:proofErr w:type="spellEnd"/>
      <w:r w:rsidRPr="005101A8">
        <w:rPr>
          <w:color w:val="000000"/>
          <w:lang w:val="ru-RU" w:eastAsia="ar-SA"/>
        </w:rPr>
        <w:t xml:space="preserve"> </w:t>
      </w:r>
      <w:proofErr w:type="spellStart"/>
      <w:r w:rsidRPr="005101A8">
        <w:rPr>
          <w:color w:val="000000"/>
          <w:lang w:val="ru-RU" w:eastAsia="ar-SA"/>
        </w:rPr>
        <w:t>відповідає</w:t>
      </w:r>
      <w:proofErr w:type="spellEnd"/>
      <w:r w:rsidRPr="005101A8">
        <w:rPr>
          <w:color w:val="000000"/>
          <w:lang w:val="ru-RU" w:eastAsia="ar-SA"/>
        </w:rPr>
        <w:t xml:space="preserve"> характеру, </w:t>
      </w:r>
      <w:proofErr w:type="spellStart"/>
      <w:r w:rsidRPr="005101A8">
        <w:rPr>
          <w:color w:val="000000"/>
          <w:lang w:val="ru-RU" w:eastAsia="ar-SA"/>
        </w:rPr>
        <w:t>забезпечує</w:t>
      </w:r>
      <w:proofErr w:type="spellEnd"/>
      <w:r w:rsidRPr="005101A8">
        <w:rPr>
          <w:color w:val="000000"/>
          <w:lang w:val="ru-RU" w:eastAsia="ar-SA"/>
        </w:rPr>
        <w:t xml:space="preserve"> </w:t>
      </w:r>
      <w:proofErr w:type="spellStart"/>
      <w:r w:rsidRPr="005101A8">
        <w:rPr>
          <w:color w:val="000000"/>
          <w:lang w:val="ru-RU" w:eastAsia="ar-SA"/>
        </w:rPr>
        <w:t>цілісність</w:t>
      </w:r>
      <w:proofErr w:type="spellEnd"/>
      <w:r w:rsidRPr="005101A8">
        <w:rPr>
          <w:color w:val="000000"/>
          <w:lang w:val="ru-RU" w:eastAsia="ar-SA"/>
        </w:rPr>
        <w:t xml:space="preserve"> товару та </w:t>
      </w:r>
      <w:proofErr w:type="spellStart"/>
      <w:r w:rsidRPr="005101A8">
        <w:rPr>
          <w:color w:val="000000"/>
          <w:lang w:val="ru-RU" w:eastAsia="ar-SA"/>
        </w:rPr>
        <w:t>збереженню</w:t>
      </w:r>
      <w:proofErr w:type="spellEnd"/>
      <w:r w:rsidRPr="005101A8">
        <w:rPr>
          <w:color w:val="000000"/>
          <w:lang w:val="ru-RU" w:eastAsia="ar-SA"/>
        </w:rPr>
        <w:t xml:space="preserve"> </w:t>
      </w:r>
      <w:proofErr w:type="spellStart"/>
      <w:r w:rsidRPr="005101A8">
        <w:rPr>
          <w:color w:val="000000"/>
          <w:lang w:val="ru-RU" w:eastAsia="ar-SA"/>
        </w:rPr>
        <w:t>його</w:t>
      </w:r>
      <w:proofErr w:type="spellEnd"/>
      <w:r w:rsidRPr="005101A8">
        <w:rPr>
          <w:color w:val="000000"/>
          <w:lang w:val="ru-RU" w:eastAsia="ar-SA"/>
        </w:rPr>
        <w:t xml:space="preserve"> </w:t>
      </w:r>
      <w:proofErr w:type="spellStart"/>
      <w:r w:rsidRPr="005101A8">
        <w:rPr>
          <w:color w:val="000000"/>
          <w:lang w:val="ru-RU" w:eastAsia="ar-SA"/>
        </w:rPr>
        <w:t>якості</w:t>
      </w:r>
      <w:proofErr w:type="spellEnd"/>
      <w:r w:rsidRPr="005101A8">
        <w:rPr>
          <w:color w:val="000000"/>
          <w:lang w:val="ru-RU" w:eastAsia="ar-SA"/>
        </w:rPr>
        <w:t xml:space="preserve"> </w:t>
      </w:r>
      <w:proofErr w:type="spellStart"/>
      <w:proofErr w:type="gramStart"/>
      <w:r w:rsidRPr="005101A8">
        <w:rPr>
          <w:color w:val="000000"/>
          <w:lang w:val="ru-RU" w:eastAsia="ar-SA"/>
        </w:rPr>
        <w:t>п</w:t>
      </w:r>
      <w:proofErr w:type="gramEnd"/>
      <w:r w:rsidRPr="005101A8">
        <w:rPr>
          <w:color w:val="000000"/>
          <w:lang w:val="ru-RU" w:eastAsia="ar-SA"/>
        </w:rPr>
        <w:t>ід</w:t>
      </w:r>
      <w:proofErr w:type="spellEnd"/>
      <w:r w:rsidRPr="005101A8">
        <w:rPr>
          <w:color w:val="000000"/>
          <w:lang w:val="ru-RU" w:eastAsia="ar-SA"/>
        </w:rPr>
        <w:t xml:space="preserve"> час </w:t>
      </w:r>
      <w:proofErr w:type="spellStart"/>
      <w:r w:rsidRPr="005101A8">
        <w:rPr>
          <w:color w:val="000000"/>
          <w:lang w:val="ru-RU" w:eastAsia="ar-SA"/>
        </w:rPr>
        <w:t>транспортування</w:t>
      </w:r>
      <w:proofErr w:type="spellEnd"/>
      <w:r w:rsidRPr="005101A8">
        <w:rPr>
          <w:color w:val="000000"/>
          <w:lang w:val="ru-RU" w:eastAsia="ar-SA"/>
        </w:rPr>
        <w:t>.</w:t>
      </w:r>
    </w:p>
    <w:p w:rsidR="00166F9D" w:rsidRPr="00E13815" w:rsidRDefault="00166F9D">
      <w:pPr>
        <w:rPr>
          <w:lang w:val="ru-RU"/>
        </w:rPr>
      </w:pPr>
    </w:p>
    <w:sectPr w:rsidR="00166F9D" w:rsidRPr="00E13815" w:rsidSect="00750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5F4"/>
    <w:multiLevelType w:val="multilevel"/>
    <w:tmpl w:val="152865F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04D00"/>
    <w:multiLevelType w:val="hybridMultilevel"/>
    <w:tmpl w:val="36B079E0"/>
    <w:lvl w:ilvl="0" w:tplc="EE0CD6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19"/>
    <w:rsid w:val="00166F9D"/>
    <w:rsid w:val="001947A5"/>
    <w:rsid w:val="00750326"/>
    <w:rsid w:val="007F02B3"/>
    <w:rsid w:val="008A7B6C"/>
    <w:rsid w:val="00BD75B5"/>
    <w:rsid w:val="00DE2319"/>
    <w:rsid w:val="00E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A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A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2022-09-28T12:35:00Z</dcterms:created>
  <dcterms:modified xsi:type="dcterms:W3CDTF">2022-09-29T08:36:00Z</dcterms:modified>
</cp:coreProperties>
</file>