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5E" w:rsidRDefault="000A485E" w:rsidP="000A485E">
      <w:pPr>
        <w:tabs>
          <w:tab w:val="left" w:pos="6555"/>
          <w:tab w:val="left" w:pos="6600"/>
          <w:tab w:val="right" w:pos="9915"/>
        </w:tabs>
        <w:rPr>
          <w:b/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>Додаток</w:t>
      </w:r>
      <w:r>
        <w:rPr>
          <w:b/>
          <w:bCs/>
          <w:caps/>
          <w:sz w:val="22"/>
          <w:szCs w:val="22"/>
        </w:rPr>
        <w:t xml:space="preserve"> №3</w:t>
      </w:r>
    </w:p>
    <w:p w:rsidR="000A485E" w:rsidRDefault="000A485E" w:rsidP="000A485E">
      <w:pPr>
        <w:pStyle w:val="Style5"/>
        <w:tabs>
          <w:tab w:val="left" w:pos="6405"/>
          <w:tab w:val="right" w:pos="9915"/>
        </w:tabs>
        <w:ind w:left="4956" w:firstLine="708"/>
      </w:pPr>
      <w:r>
        <w:t xml:space="preserve">               до тендерної документації</w:t>
      </w:r>
    </w:p>
    <w:p w:rsidR="000A485E" w:rsidRDefault="000A485E" w:rsidP="000A485E">
      <w:pPr>
        <w:pStyle w:val="Style5"/>
        <w:tabs>
          <w:tab w:val="left" w:pos="6405"/>
          <w:tab w:val="right" w:pos="9915"/>
        </w:tabs>
        <w:ind w:left="4956" w:firstLine="708"/>
        <w:rPr>
          <w:b/>
          <w:bCs/>
          <w:sz w:val="28"/>
          <w:szCs w:val="28"/>
          <w:lang w:eastAsia="ar-SA"/>
        </w:rPr>
      </w:pPr>
    </w:p>
    <w:p w:rsidR="000A485E" w:rsidRDefault="000A485E" w:rsidP="000A485E">
      <w:pPr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Кваліфікаційні критерії процедури закупівлі</w:t>
      </w:r>
    </w:p>
    <w:p w:rsidR="000A485E" w:rsidRDefault="000A485E" w:rsidP="000A485E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</w:t>
      </w:r>
    </w:p>
    <w:p w:rsidR="000A485E" w:rsidRDefault="000A485E" w:rsidP="000A485E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відповідно до вимог ч. 2 ст. 16 Закону:</w:t>
      </w:r>
    </w:p>
    <w:p w:rsidR="000A485E" w:rsidRDefault="000A485E" w:rsidP="000A485E">
      <w:pPr>
        <w:jc w:val="center"/>
        <w:rPr>
          <w:sz w:val="16"/>
          <w:szCs w:val="16"/>
          <w:lang w:eastAsia="ar-SA"/>
        </w:rPr>
      </w:pPr>
    </w:p>
    <w:tbl>
      <w:tblPr>
        <w:tblW w:w="9675" w:type="dxa"/>
        <w:tblInd w:w="108" w:type="dxa"/>
        <w:tblLayout w:type="fixed"/>
        <w:tblLook w:val="04A0"/>
      </w:tblPr>
      <w:tblGrid>
        <w:gridCol w:w="2724"/>
        <w:gridCol w:w="6951"/>
      </w:tblGrid>
      <w:tr w:rsidR="000A485E" w:rsidTr="00512465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85E" w:rsidRDefault="000A485E" w:rsidP="00512465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Критерії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85E" w:rsidRDefault="000A485E" w:rsidP="00512465">
            <w:pPr>
              <w:snapToGrid w:val="0"/>
              <w:spacing w:line="256" w:lineRule="auto"/>
              <w:ind w:left="-3" w:right="312"/>
              <w:jc w:val="center"/>
              <w:rPr>
                <w:b/>
                <w:spacing w:val="4"/>
                <w:lang w:eastAsia="ar-SA"/>
              </w:rPr>
            </w:pPr>
            <w:r>
              <w:rPr>
                <w:b/>
                <w:spacing w:val="4"/>
                <w:lang w:eastAsia="ar-SA"/>
              </w:rPr>
              <w:t xml:space="preserve">Документ, який підтверджує відповідність </w:t>
            </w:r>
          </w:p>
        </w:tc>
      </w:tr>
      <w:tr w:rsidR="000A485E" w:rsidTr="00512465"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485E" w:rsidRDefault="000A485E" w:rsidP="00512465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485E" w:rsidRDefault="000A485E" w:rsidP="00512465">
            <w:pPr>
              <w:snapToGrid w:val="0"/>
              <w:spacing w:line="256" w:lineRule="auto"/>
              <w:ind w:left="-3" w:right="312"/>
              <w:jc w:val="center"/>
              <w:rPr>
                <w:b/>
                <w:spacing w:val="4"/>
                <w:lang w:eastAsia="ar-SA"/>
              </w:rPr>
            </w:pPr>
            <w:r>
              <w:rPr>
                <w:b/>
                <w:spacing w:val="4"/>
                <w:lang w:eastAsia="ar-SA"/>
              </w:rPr>
              <w:t>2</w:t>
            </w:r>
          </w:p>
        </w:tc>
      </w:tr>
      <w:tr w:rsidR="000A485E" w:rsidTr="00512465"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485E" w:rsidRDefault="000A485E" w:rsidP="00512465">
            <w:pPr>
              <w:snapToGrid w:val="0"/>
              <w:spacing w:line="256" w:lineRule="auto"/>
              <w:rPr>
                <w:b/>
                <w:lang w:eastAsia="ar-SA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b/>
                <w:color w:val="000000"/>
                <w:shd w:val="clear" w:color="auto" w:fill="FFFFFF"/>
              </w:rPr>
              <w:t>Наявність обладнання та матеріально-технічної бази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485E" w:rsidRDefault="000A485E" w:rsidP="0051246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в учасника власних або орендованих вантажних автотранспортних засобів, підтверджена відповідними документами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(копії документів, що підтверджують право власності чи користування, або копія договору на вантажоперевезення з копіями свідоцтв про реєстрацію транспортних засобів)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гарантованого забезпечення виконання Договору про закупівлю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0A485E" w:rsidRDefault="000A485E" w:rsidP="00512465">
            <w:pPr>
              <w:suppressAutoHyphens w:val="0"/>
              <w:spacing w:line="256" w:lineRule="auto"/>
              <w:jc w:val="both"/>
            </w:pPr>
            <w:r>
              <w:rPr>
                <w:bCs/>
              </w:rPr>
              <w:t xml:space="preserve">1.2. Обов’язковим є наявність </w:t>
            </w:r>
            <w:r>
              <w:t xml:space="preserve">в учасника можливості забезпечити при поставці  брикетів торф’яних його зважування на території </w:t>
            </w:r>
            <w:r w:rsidR="005E576A">
              <w:t>Камінь-Каширського району Волинської області</w:t>
            </w:r>
            <w:r w:rsidRPr="005E576A">
              <w:t xml:space="preserve">в присутності представника Замовника на сертифікованих </w:t>
            </w:r>
            <w:proofErr w:type="spellStart"/>
            <w:r w:rsidRPr="005E576A">
              <w:t>автовагах</w:t>
            </w:r>
            <w:proofErr w:type="spellEnd"/>
            <w:r>
              <w:t>, оскільки оплата за товар буде проводитись відповідно до ваги відвантаженого товару. Визначення ваги партії поставки та відповідно суми, яка має бути оплачена за поставлений товар не є можливим без попереднього зважування вантажного автомобіля без товару та з товаром.</w:t>
            </w:r>
          </w:p>
          <w:p w:rsidR="000A485E" w:rsidRDefault="000A485E" w:rsidP="0051246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1.2.1. надаються копії документів, що засвідчують право власності учасника на встановлені </w:t>
            </w:r>
            <w:r w:rsidR="005E5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на території Камінь-Каширського </w:t>
            </w:r>
            <w:proofErr w:type="spellStart"/>
            <w:r w:rsidR="005E5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району</w:t>
            </w:r>
            <w:r w:rsidRPr="005E5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або</w:t>
            </w:r>
            <w:proofErr w:type="spellEnd"/>
            <w:r w:rsidRPr="005E5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5E5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мобільні</w:t>
            </w:r>
            <w:r w:rsidRPr="005E5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автоваги</w:t>
            </w:r>
            <w:proofErr w:type="spellEnd"/>
            <w:r w:rsidRPr="005E5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та/або право їх оренди та/або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копія договору про надання послуг по зважуванню та таруванню автомашин в смт. </w:t>
            </w:r>
            <w:r w:rsidR="00FE16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Любешів.</w:t>
            </w:r>
          </w:p>
          <w:p w:rsidR="000A485E" w:rsidRDefault="000A485E" w:rsidP="0051246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1.2.2. До зазначених документів обов’язково додається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копія документу, що засвідчує сертифікацію (повірку) ваг, дійсного на момент подання тендерної пропозиції.</w:t>
            </w:r>
          </w:p>
          <w:p w:rsidR="002C06D6" w:rsidRPr="005E576A" w:rsidRDefault="002C06D6" w:rsidP="00512465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  <w:r w:rsidRPr="005E5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Н</w:t>
            </w:r>
            <w:proofErr w:type="spellStart"/>
            <w:r w:rsidRPr="005E576A">
              <w:rPr>
                <w:rFonts w:ascii="Times New Roman" w:hAnsi="Times New Roman" w:cs="Times New Roman"/>
                <w:bCs/>
                <w:sz w:val="24"/>
                <w:szCs w:val="24"/>
              </w:rPr>
              <w:t>аявність</w:t>
            </w:r>
            <w:r w:rsidRPr="005E5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E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6A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5E5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складів для зберігання брикетів торфових на території Камінь-Каширського району.</w:t>
            </w:r>
          </w:p>
          <w:p w:rsidR="000A485E" w:rsidRPr="00A54B40" w:rsidRDefault="000A485E" w:rsidP="00A54B40">
            <w:pPr>
              <w:suppressAutoHyphens w:val="0"/>
              <w:spacing w:line="256" w:lineRule="auto"/>
              <w:jc w:val="both"/>
              <w:rPr>
                <w:rFonts w:ascii="Times" w:hAnsi="Times"/>
                <w:color w:val="FF0000"/>
              </w:rPr>
            </w:pPr>
          </w:p>
        </w:tc>
      </w:tr>
      <w:tr w:rsidR="000A485E" w:rsidTr="00512465">
        <w:trPr>
          <w:trHeight w:val="1259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485E" w:rsidRDefault="000A485E" w:rsidP="00512465">
            <w:pPr>
              <w:tabs>
                <w:tab w:val="center" w:pos="4819"/>
                <w:tab w:val="right" w:pos="9639"/>
              </w:tabs>
              <w:snapToGrid w:val="0"/>
              <w:spacing w:line="256" w:lineRule="auto"/>
              <w:ind w:right="-108"/>
              <w:rPr>
                <w:b/>
                <w:lang w:eastAsia="ar-SA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b/>
                <w:color w:val="000000"/>
                <w:shd w:val="clear" w:color="auto" w:fill="FFFFFF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485E" w:rsidRDefault="000A485E" w:rsidP="00512465">
            <w:pPr>
              <w:tabs>
                <w:tab w:val="left" w:pos="460"/>
                <w:tab w:val="num" w:pos="3060"/>
                <w:tab w:val="num" w:pos="3320"/>
              </w:tabs>
              <w:spacing w:before="60" w:line="256" w:lineRule="auto"/>
              <w:ind w:right="-28" w:firstLine="38"/>
              <w:jc w:val="both"/>
            </w:pPr>
            <w:r>
              <w:t xml:space="preserve">2.1. Інформаційна довідка учасника, складена у довільній формі, про </w:t>
            </w:r>
            <w:r>
              <w:rPr>
                <w:b/>
              </w:rPr>
              <w:t>виконання</w:t>
            </w:r>
            <w:r>
              <w:t xml:space="preserve"> аналогічного (аналогічних) за предметом закупівлі договору (договорів) (не більше двох).  В інформаційній довідці повинна бути зазначена інформація про найменування та адресу замовника, № та дата договору, предмет договору, П.І.Б. контактної особи замовника та телефон).</w:t>
            </w:r>
          </w:p>
          <w:p w:rsidR="000A485E" w:rsidRDefault="000A485E" w:rsidP="00512465">
            <w:pPr>
              <w:tabs>
                <w:tab w:val="num" w:pos="3060"/>
                <w:tab w:val="num" w:pos="3320"/>
              </w:tabs>
              <w:spacing w:before="60" w:line="256" w:lineRule="auto"/>
              <w:ind w:right="-28" w:firstLine="38"/>
              <w:jc w:val="both"/>
            </w:pPr>
            <w:r>
              <w:t>2.2. Якісно скановану копію договору (договорів) із усіма додатками до нього (до них) відповідно до наданої інформаційної довідки. На всіх сторінках сканованого договору (договорів) та додатках повинна бути відмітка “</w:t>
            </w:r>
            <w:r>
              <w:rPr>
                <w:i/>
              </w:rPr>
              <w:t>З оригіналом вірно</w:t>
            </w:r>
            <w:r>
              <w:t>“ та підпис уповноваженої особи.</w:t>
            </w:r>
          </w:p>
          <w:p w:rsidR="000A485E" w:rsidRDefault="000A485E" w:rsidP="00512465">
            <w:pPr>
              <w:tabs>
                <w:tab w:val="num" w:pos="3060"/>
                <w:tab w:val="num" w:pos="3320"/>
              </w:tabs>
              <w:spacing w:before="60" w:line="256" w:lineRule="auto"/>
              <w:ind w:right="-28" w:firstLine="38"/>
              <w:jc w:val="both"/>
            </w:pPr>
            <w:r>
              <w:t>2.3. Скановані копії накладних документів до договору (договорів), що засвідчують факт їх виконання.</w:t>
            </w:r>
          </w:p>
          <w:p w:rsidR="000A485E" w:rsidRDefault="000A485E" w:rsidP="00512465">
            <w:pPr>
              <w:tabs>
                <w:tab w:val="num" w:pos="3060"/>
                <w:tab w:val="num" w:pos="3320"/>
              </w:tabs>
              <w:spacing w:before="60" w:line="256" w:lineRule="auto"/>
              <w:ind w:right="-28"/>
              <w:jc w:val="both"/>
              <w:rPr>
                <w:bCs/>
                <w:i/>
                <w:color w:val="000000"/>
              </w:rPr>
            </w:pPr>
          </w:p>
        </w:tc>
      </w:tr>
      <w:tr w:rsidR="000A485E" w:rsidTr="00512465">
        <w:trPr>
          <w:trHeight w:val="1694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85E" w:rsidRDefault="000A485E" w:rsidP="00512465">
            <w:pPr>
              <w:tabs>
                <w:tab w:val="center" w:pos="4819"/>
                <w:tab w:val="right" w:pos="9639"/>
              </w:tabs>
              <w:snapToGrid w:val="0"/>
              <w:spacing w:line="256" w:lineRule="auto"/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</w:t>
            </w:r>
            <w:r>
              <w:rPr>
                <w:b/>
                <w:color w:val="000000"/>
                <w:shd w:val="clear" w:color="auto" w:fill="FFFFFF"/>
              </w:rPr>
              <w:t>Наявність фінансової спроможності, яка підтверджується фінансовою звітністю.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85E" w:rsidRDefault="000A485E" w:rsidP="00512465">
            <w:pPr>
              <w:tabs>
                <w:tab w:val="left" w:pos="460"/>
                <w:tab w:val="num" w:pos="3060"/>
                <w:tab w:val="num" w:pos="3320"/>
              </w:tabs>
              <w:spacing w:before="60" w:line="256" w:lineRule="auto"/>
              <w:ind w:right="-28"/>
              <w:jc w:val="both"/>
            </w:pPr>
            <w:r>
              <w:t>3.1</w:t>
            </w:r>
            <w:r w:rsidRPr="005E576A">
              <w:t xml:space="preserve">. Фінансовий звіт (або податкова декларація платників єдиного податку для фізичних осіб-підприємців) учасника закупівлі за останній звітний період (2021 рік). </w:t>
            </w:r>
          </w:p>
        </w:tc>
      </w:tr>
    </w:tbl>
    <w:p w:rsidR="000A485E" w:rsidRDefault="000A485E" w:rsidP="000A485E"/>
    <w:p w:rsidR="00612B52" w:rsidRDefault="00612B52"/>
    <w:sectPr w:rsidR="00612B52" w:rsidSect="004D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15FC"/>
    <w:rsid w:val="00096A94"/>
    <w:rsid w:val="000A485E"/>
    <w:rsid w:val="002C06D6"/>
    <w:rsid w:val="004D4B05"/>
    <w:rsid w:val="005B5EE6"/>
    <w:rsid w:val="005E576A"/>
    <w:rsid w:val="00612B52"/>
    <w:rsid w:val="00675AD4"/>
    <w:rsid w:val="008129DE"/>
    <w:rsid w:val="00A54B40"/>
    <w:rsid w:val="00AD2ED0"/>
    <w:rsid w:val="00CB15FC"/>
    <w:rsid w:val="00E466C0"/>
    <w:rsid w:val="00E75CE7"/>
    <w:rsid w:val="00F815FC"/>
    <w:rsid w:val="00FE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link w:val="Style50"/>
    <w:rsid w:val="000A485E"/>
    <w:pPr>
      <w:widowControl w:val="0"/>
      <w:suppressAutoHyphens w:val="0"/>
      <w:autoSpaceDE w:val="0"/>
      <w:autoSpaceDN w:val="0"/>
      <w:adjustRightInd w:val="0"/>
    </w:pPr>
    <w:rPr>
      <w:szCs w:val="20"/>
    </w:rPr>
  </w:style>
  <w:style w:type="character" w:customStyle="1" w:styleId="Style50">
    <w:name w:val="Style5 Знак"/>
    <w:link w:val="Style5"/>
    <w:locked/>
    <w:rsid w:val="000A485E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с отступом 2 Знак"/>
    <w:link w:val="20"/>
    <w:rsid w:val="000A485E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0A485E"/>
    <w:pPr>
      <w:suppressAutoHyphens w:val="0"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val="ru-RU"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0A485E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</cp:lastModifiedBy>
  <cp:revision>3</cp:revision>
  <dcterms:created xsi:type="dcterms:W3CDTF">2022-08-25T08:30:00Z</dcterms:created>
  <dcterms:modified xsi:type="dcterms:W3CDTF">2022-08-25T09:17:00Z</dcterms:modified>
</cp:coreProperties>
</file>