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3430D4FC" w:rsidR="00243D08" w:rsidRPr="000C0E87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F31459" w:rsidRPr="000C0E87">
        <w:rPr>
          <w:rFonts w:ascii="Cambria" w:hAnsi="Cambria"/>
          <w:b/>
          <w:bCs/>
          <w:sz w:val="19"/>
          <w:szCs w:val="19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0C0E87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1306247D" w:rsidR="00243D08" w:rsidRPr="00584C19" w:rsidRDefault="00584C19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bookmarkStart w:id="0" w:name="_Hlk143687737"/>
            <w:r w:rsidRPr="00584C19">
              <w:rPr>
                <w:rFonts w:ascii="Cambria" w:hAnsi="Cambria"/>
                <w:bCs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584C19">
              <w:rPr>
                <w:rFonts w:ascii="Cambria" w:hAnsi="Cambria"/>
                <w:bCs/>
                <w:sz w:val="18"/>
                <w:szCs w:val="18"/>
                <w:lang w:val="uk-UA"/>
              </w:rPr>
              <w:t>(</w:t>
            </w:r>
            <w:r w:rsidRPr="00584C19">
              <w:rPr>
                <w:rFonts w:ascii="Cambria" w:hAnsi="Cambria"/>
                <w:bCs/>
                <w:color w:val="000000"/>
                <w:sz w:val="18"/>
                <w:szCs w:val="18"/>
                <w:lang w:val="uk-UA"/>
              </w:rPr>
              <w:t>Дослідження нехарчової продукції: Електричне обладнання на відповідність Технічному регламенту низьковольтного електричного обладнання та Технічному регламенту з електромагнітної сумісності обладнання</w:t>
            </w:r>
            <w:r w:rsidRPr="00584C19">
              <w:rPr>
                <w:rFonts w:ascii="Cambria" w:hAnsi="Cambria"/>
                <w:bCs/>
                <w:sz w:val="18"/>
                <w:szCs w:val="18"/>
                <w:lang w:val="uk-UA"/>
              </w:rPr>
              <w:t>)</w:t>
            </w:r>
            <w:bookmarkEnd w:id="0"/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41789E" w:rsidRPr="00B0207E" w14:paraId="428A851A" w14:textId="77777777" w:rsidTr="00501597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65214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1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9B77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3E1AD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5B39" w14:textId="0EC5D3F6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8E72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41789E" w:rsidRPr="00B0207E" w14:paraId="2CEA5621" w14:textId="77777777" w:rsidTr="00501597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1208B" w14:textId="4039F549" w:rsidR="0041789E" w:rsidRPr="00B0207E" w:rsidRDefault="0041789E" w:rsidP="00501597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Кількість досліджень:   </w:t>
            </w:r>
            <w:r w:rsidR="00584C19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20</w:t>
            </w:r>
          </w:p>
        </w:tc>
      </w:tr>
      <w:tr w:rsidR="00584C19" w:rsidRPr="00B0207E" w14:paraId="2CE91702" w14:textId="77777777" w:rsidTr="00A0413E">
        <w:trPr>
          <w:trHeight w:val="1656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6FD77" w14:textId="5508D54D" w:rsidR="00584C19" w:rsidRPr="00584C19" w:rsidRDefault="00584C19" w:rsidP="00501597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584C19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584C19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r w:rsidRPr="00584C19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>Дослідження нехарчової продукції: Електричне обладнання на відповідність Технічному регламенту низьковольтного електричного обладнання та Технічному регламенту з електромагнітної сумісності обладнання</w:t>
            </w:r>
            <w:r w:rsidRPr="00584C19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108" w14:textId="19F8E653" w:rsidR="00584C19" w:rsidRPr="00F07102" w:rsidRDefault="00584C19" w:rsidP="00501597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 xml:space="preserve">Маркування та інструкції. Захист від небезпек, що можуть виникнути внаслідок використання електрообладнання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885E" w14:textId="4A0E033E" w:rsidR="00584C19" w:rsidRPr="00450E2F" w:rsidRDefault="00584C19" w:rsidP="00501597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A5B49" w14:textId="77777777" w:rsidR="00584C19" w:rsidRPr="00B0207E" w:rsidRDefault="00584C19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E7E6" w14:textId="77777777" w:rsidR="00584C19" w:rsidRPr="00B0207E" w:rsidRDefault="00584C19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584C19" w:rsidRPr="00B0207E" w14:paraId="60643C16" w14:textId="77777777" w:rsidTr="00A0413E">
        <w:trPr>
          <w:trHeight w:val="1656"/>
          <w:jc w:val="center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7E2" w14:textId="77777777" w:rsidR="00584C19" w:rsidRPr="00F07102" w:rsidRDefault="00584C19" w:rsidP="00501597">
            <w:pPr>
              <w:spacing w:after="200" w:line="276" w:lineRule="auto"/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ACE" w14:textId="34CB4596" w:rsidR="00584C19" w:rsidRDefault="00584C19" w:rsidP="00501597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>Рівень створюваних електромагнітних завад. Завадостійкість до дії електромагнітних завад.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0BA4" w14:textId="77645D0E" w:rsidR="00584C19" w:rsidRDefault="00584C19" w:rsidP="00501597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87B1" w14:textId="77777777" w:rsidR="00584C19" w:rsidRPr="00B0207E" w:rsidRDefault="00584C19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6778" w14:textId="77777777" w:rsidR="00584C19" w:rsidRPr="00B0207E" w:rsidRDefault="00584C19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41789E" w:rsidRPr="00B0207E" w14:paraId="4078CE72" w14:textId="77777777" w:rsidTr="00501597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460E7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38BC" w14:textId="5D9741D8" w:rsidR="0041789E" w:rsidRPr="00B0207E" w:rsidRDefault="00584C19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74B1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6F76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1"/>
    </w:tbl>
    <w:p w14:paraId="64BEFDC0" w14:textId="77777777" w:rsidR="003651D1" w:rsidRDefault="003651D1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03E40AB" w14:textId="77777777" w:rsidR="000B7AE2" w:rsidRPr="008F5902" w:rsidRDefault="0041789E" w:rsidP="000B7AE2">
      <w:pPr>
        <w:spacing w:after="200" w:line="276" w:lineRule="auto"/>
        <w:jc w:val="both"/>
        <w:rPr>
          <w:rFonts w:ascii="Cambria" w:eastAsia="Times New Roman" w:hAnsi="Cambria" w:cstheme="minorHAnsi"/>
          <w:b/>
          <w:sz w:val="18"/>
          <w:szCs w:val="18"/>
          <w:lang w:val="uk-UA"/>
        </w:rPr>
      </w:pPr>
      <w:r w:rsidRPr="008F5902">
        <w:rPr>
          <w:rFonts w:ascii="Cambria" w:eastAsia="Times New Roman" w:hAnsi="Cambria" w:cstheme="minorHAnsi"/>
          <w:b/>
          <w:sz w:val="18"/>
          <w:szCs w:val="18"/>
          <w:lang w:val="uk-UA"/>
        </w:rPr>
        <w:t>Вимоги до  Учасників:</w:t>
      </w:r>
    </w:p>
    <w:p w14:paraId="012DC30B" w14:textId="62220464" w:rsidR="00B736D7" w:rsidRPr="00A33016" w:rsidRDefault="0041789E" w:rsidP="00A33016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6" w:firstLine="66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бути акредитований на відповідність вимогам 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ДСТУ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="000B7AE2"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EN</w:t>
      </w:r>
      <w:r w:rsidR="000B7AE2"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ISO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/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IEC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Pr="00A33016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17025:2019 </w:t>
      </w:r>
      <w:r w:rsidRPr="00A33016">
        <w:rPr>
          <w:rFonts w:ascii="Cambria" w:eastAsia="Times New Roman" w:hAnsi="Cambria" w:cstheme="minorHAnsi"/>
          <w:sz w:val="18"/>
          <w:szCs w:val="18"/>
          <w:lang w:val="uk-UA"/>
        </w:rPr>
        <w:t>«Загальні вимоги до компетентності випробувальних та калібрувальних лабораторій» за стандартами,</w:t>
      </w:r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які включені до Переліків національних стандартів, які </w:t>
      </w:r>
      <w:r w:rsidR="00B07BD5">
        <w:rPr>
          <w:rFonts w:ascii="Cambria" w:eastAsia="Times New Roman" w:hAnsi="Cambria" w:cstheme="minorHAnsi"/>
          <w:sz w:val="18"/>
          <w:szCs w:val="18"/>
          <w:lang w:val="uk-UA"/>
        </w:rPr>
        <w:t>у</w:t>
      </w:r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разі добровільного застосування можуть сприйматись як доказ </w:t>
      </w:r>
      <w:proofErr w:type="spellStart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>відпоавідності</w:t>
      </w:r>
      <w:proofErr w:type="spellEnd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продуктам Технічного регламенту </w:t>
      </w:r>
      <w:proofErr w:type="spellStart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>низковольтного</w:t>
      </w:r>
      <w:proofErr w:type="spellEnd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електричного обладнання, затвердженого постановою Кабінету Міністрів України від 16 грудня 2015 року № 1067 та Технічного регламенту е електромагнітної сумісності обладнання, </w:t>
      </w:r>
      <w:proofErr w:type="spellStart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>затвердженного</w:t>
      </w:r>
      <w:proofErr w:type="spellEnd"/>
      <w:r w:rsidR="00A33016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постановою Кабінету Міністрів України від 16 грудня 2015 року № 1077. </w:t>
      </w:r>
      <w:r w:rsidR="00B736D7" w:rsidRPr="00A33016">
        <w:rPr>
          <w:rFonts w:ascii="Cambria" w:hAnsi="Cambria" w:cstheme="minorHAnsi"/>
          <w:sz w:val="18"/>
          <w:szCs w:val="18"/>
          <w:lang w:val="uk-UA"/>
        </w:rPr>
        <w:t>Д</w:t>
      </w:r>
      <w:r w:rsidR="00B736D7" w:rsidRPr="00A33016">
        <w:rPr>
          <w:rFonts w:ascii="Cambria" w:hAnsi="Cambria"/>
          <w:sz w:val="18"/>
          <w:szCs w:val="18"/>
          <w:lang w:val="uk-UA"/>
        </w:rPr>
        <w:t xml:space="preserve">ля підтвердження  </w:t>
      </w:r>
      <w:r w:rsidR="00B736D7" w:rsidRPr="00A33016">
        <w:rPr>
          <w:rFonts w:ascii="Cambria" w:hAnsi="Cambria"/>
          <w:b/>
          <w:sz w:val="18"/>
          <w:szCs w:val="18"/>
          <w:lang w:val="uk-UA"/>
        </w:rPr>
        <w:t xml:space="preserve">надати </w:t>
      </w:r>
      <w:r w:rsidR="00B736D7" w:rsidRPr="00A33016">
        <w:rPr>
          <w:rFonts w:ascii="Cambria" w:hAnsi="Cambria"/>
          <w:bCs/>
          <w:sz w:val="18"/>
          <w:szCs w:val="18"/>
          <w:lang w:val="uk-UA"/>
        </w:rPr>
        <w:t xml:space="preserve">завірену копію Атестату про акредитацію відповідно до вимог ДСТУ </w:t>
      </w:r>
      <w:r w:rsidR="00B736D7" w:rsidRPr="00A33016">
        <w:rPr>
          <w:rFonts w:ascii="Cambria" w:hAnsi="Cambria"/>
          <w:bCs/>
          <w:sz w:val="18"/>
          <w:szCs w:val="18"/>
          <w:lang w:val="en-US"/>
        </w:rPr>
        <w:t>EN</w:t>
      </w:r>
      <w:r w:rsidR="00B736D7" w:rsidRPr="00A33016">
        <w:rPr>
          <w:rFonts w:ascii="Cambria" w:hAnsi="Cambria"/>
          <w:bCs/>
          <w:sz w:val="18"/>
          <w:szCs w:val="18"/>
          <w:lang w:val="uk-UA"/>
        </w:rPr>
        <w:t xml:space="preserve"> ISO/IEC 17025:2019 </w:t>
      </w:r>
      <w:r w:rsidR="00CD755E">
        <w:rPr>
          <w:rFonts w:ascii="Cambria" w:hAnsi="Cambria"/>
          <w:bCs/>
          <w:sz w:val="18"/>
          <w:szCs w:val="18"/>
          <w:lang w:val="uk-UA"/>
        </w:rPr>
        <w:t>з додатками, які визначають відповідну сферу акредитації для зразків продукції визначених цією документацію</w:t>
      </w:r>
      <w:r w:rsidR="00B736D7" w:rsidRPr="00A33016">
        <w:rPr>
          <w:rFonts w:ascii="Cambria" w:hAnsi="Cambria"/>
          <w:bCs/>
          <w:sz w:val="18"/>
          <w:szCs w:val="18"/>
          <w:lang w:val="uk-UA"/>
        </w:rPr>
        <w:t>;</w:t>
      </w:r>
    </w:p>
    <w:p w14:paraId="393CE605" w14:textId="115F637D" w:rsidR="0041789E" w:rsidRPr="00B148B0" w:rsidRDefault="0041789E" w:rsidP="005544F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входити до складу органу з оцінки відповідності, включеного до Реєстру ООВ, призначених </w:t>
      </w:r>
      <w:proofErr w:type="spellStart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Мінекономрозвитку</w:t>
      </w:r>
      <w:proofErr w:type="spellEnd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України на виконання робіт з оцінки відповідності продукції, що перевіряється, вимогам технічних </w:t>
      </w:r>
      <w:r w:rsidRPr="00B148B0">
        <w:rPr>
          <w:rFonts w:ascii="Cambria" w:eastAsia="Times New Roman" w:hAnsi="Cambria" w:cstheme="minorHAnsi"/>
          <w:sz w:val="18"/>
          <w:szCs w:val="18"/>
          <w:lang w:val="uk-UA"/>
        </w:rPr>
        <w:t>регламентів.</w:t>
      </w:r>
      <w:r w:rsidR="00371641" w:rsidRPr="00B148B0">
        <w:rPr>
          <w:rFonts w:ascii="Cambria" w:eastAsia="Times New Roman" w:hAnsi="Cambria" w:cstheme="minorHAnsi"/>
          <w:sz w:val="18"/>
          <w:szCs w:val="18"/>
          <w:lang w:val="uk-UA"/>
        </w:rPr>
        <w:t xml:space="preserve"> Для підтвердження надати завірену копію </w:t>
      </w:r>
      <w:r w:rsidR="00B148B0" w:rsidRPr="00B148B0">
        <w:rPr>
          <w:rFonts w:ascii="Cambria" w:eastAsia="Times New Roman" w:hAnsi="Cambria" w:cstheme="minorHAnsi"/>
          <w:sz w:val="18"/>
          <w:szCs w:val="18"/>
          <w:lang w:val="uk-UA"/>
        </w:rPr>
        <w:t>витягу з реєстру ООВ.</w:t>
      </w:r>
    </w:p>
    <w:p w14:paraId="40E1248B" w14:textId="107FA99F" w:rsidR="00450E2F" w:rsidRPr="00DD61E4" w:rsidRDefault="00450E2F" w:rsidP="005544F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не повинен мати обмежень сфери акредитації щодо </w:t>
      </w:r>
      <w:r w:rsidR="00B07BD5">
        <w:rPr>
          <w:rFonts w:ascii="Cambria" w:eastAsia="Times New Roman" w:hAnsi="Cambria" w:cstheme="minorHAnsi"/>
          <w:sz w:val="18"/>
          <w:szCs w:val="18"/>
          <w:lang w:val="uk-UA"/>
        </w:rPr>
        <w:t xml:space="preserve">окремих видів випробувань на відповідність національним стандартам, які у разі </w:t>
      </w:r>
      <w:proofErr w:type="spellStart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>разі</w:t>
      </w:r>
      <w:proofErr w:type="spellEnd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добровільного застосування можуть сприйматись як доказ відповідності продуктам Технічного регламенту </w:t>
      </w:r>
      <w:proofErr w:type="spellStart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>низковольтного</w:t>
      </w:r>
      <w:proofErr w:type="spellEnd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електричного обладнання, затвердженого постановою Кабінету Міністрів України від 16 грудня 2015 року № 1067 та Технічного регламенту е електромагнітної сумісності обладнання, </w:t>
      </w:r>
      <w:proofErr w:type="spellStart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>затвердженного</w:t>
      </w:r>
      <w:proofErr w:type="spellEnd"/>
      <w:r w:rsidR="00B07BD5" w:rsidRPr="00A33016">
        <w:rPr>
          <w:rFonts w:ascii="Cambria" w:eastAsia="Times New Roman" w:hAnsi="Cambria" w:cstheme="minorHAnsi"/>
          <w:sz w:val="18"/>
          <w:szCs w:val="18"/>
          <w:lang w:val="uk-UA"/>
        </w:rPr>
        <w:t xml:space="preserve"> постановою Кабінету Міністрів України від 16 грудня 2015 року № 1077</w:t>
      </w:r>
      <w:r>
        <w:rPr>
          <w:rFonts w:ascii="Cambria" w:eastAsia="Times New Roman" w:hAnsi="Cambria" w:cstheme="minorHAnsi"/>
          <w:sz w:val="18"/>
          <w:szCs w:val="18"/>
          <w:lang w:val="uk-UA"/>
        </w:rPr>
        <w:t>.</w:t>
      </w:r>
    </w:p>
    <w:p w14:paraId="5868DABD" w14:textId="56573B46" w:rsidR="0041789E" w:rsidRPr="00DD61E4" w:rsidRDefault="0041789E" w:rsidP="005544FB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lastRenderedPageBreak/>
        <w:t xml:space="preserve">Відповідно до </w:t>
      </w:r>
      <w:bookmarkStart w:id="2" w:name="_Hlk32572470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частини 7 статті 27 Закону України «Про державний ринковий нагляд і контроль нехарчової продукції</w:t>
      </w:r>
      <w:r w:rsidRPr="00450E2F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»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</w:t>
      </w:r>
      <w:bookmarkEnd w:id="2"/>
      <w:r w:rsidR="00450E2F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>термін дослідження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не може перевищувати тридцяти робочих днів з дня прийняття рішення про її проведення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 xml:space="preserve">. </w:t>
      </w:r>
      <w:bookmarkStart w:id="3" w:name="_Hlk32501027"/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Цей строк може бути більшим у разі, якщо методикою проведення експертизи (випробувань)  зразків продукції</w:t>
      </w: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передбачено більш тривалий час для її проведення</w:t>
      </w:r>
      <w:bookmarkEnd w:id="3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.</w:t>
      </w:r>
    </w:p>
    <w:p w14:paraId="499C7760" w14:textId="1D2122A8" w:rsidR="0041789E" w:rsidRPr="0041789E" w:rsidRDefault="0041789E" w:rsidP="0055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bookmarkStart w:id="4" w:name="_Hlk32574943"/>
      <w:r w:rsidRPr="0041789E">
        <w:rPr>
          <w:rFonts w:ascii="Cambria" w:hAnsi="Cambria" w:cstheme="minorHAnsi"/>
          <w:sz w:val="18"/>
          <w:szCs w:val="18"/>
          <w:lang w:val="uk-UA"/>
        </w:rPr>
        <w:t xml:space="preserve">За результатами досліджень виконавцем (Учасником) </w:t>
      </w:r>
      <w:r w:rsidR="00450E2F">
        <w:rPr>
          <w:rFonts w:ascii="Cambria" w:hAnsi="Cambria" w:cstheme="minorHAnsi"/>
          <w:sz w:val="18"/>
          <w:szCs w:val="18"/>
          <w:u w:val="single"/>
          <w:lang w:val="uk-UA"/>
        </w:rPr>
        <w:t>надається протокол випробувань з висновком</w:t>
      </w:r>
      <w:bookmarkStart w:id="5" w:name="_Hlk32572041"/>
      <w:bookmarkStart w:id="6" w:name="_Hlk32572348"/>
      <w:r w:rsidR="00450E2F">
        <w:rPr>
          <w:rFonts w:ascii="Cambria" w:hAnsi="Cambria" w:cstheme="minorHAnsi"/>
          <w:sz w:val="18"/>
          <w:szCs w:val="18"/>
          <w:lang w:val="uk-UA"/>
        </w:rPr>
        <w:t xml:space="preserve"> щодо 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відповідн</w:t>
      </w:r>
      <w:r w:rsidR="00450E2F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450E2F">
        <w:rPr>
          <w:rFonts w:ascii="Cambria" w:hAnsi="Cambria" w:cstheme="minorHAnsi"/>
          <w:sz w:val="18"/>
          <w:szCs w:val="18"/>
          <w:lang w:val="uk-UA"/>
        </w:rPr>
        <w:t>і</w:t>
      </w:r>
      <w:r w:rsidR="007862BD">
        <w:rPr>
          <w:rFonts w:ascii="Cambria" w:hAnsi="Cambria" w:cstheme="minorHAnsi"/>
          <w:sz w:val="18"/>
          <w:szCs w:val="18"/>
          <w:lang w:val="uk-UA"/>
        </w:rPr>
        <w:t xml:space="preserve"> (</w:t>
      </w:r>
      <w:r w:rsidRPr="0041789E">
        <w:rPr>
          <w:rFonts w:ascii="Cambria" w:hAnsi="Cambria" w:cstheme="minorHAnsi"/>
          <w:sz w:val="18"/>
          <w:szCs w:val="18"/>
          <w:lang w:val="uk-UA"/>
        </w:rPr>
        <w:t>невідповідн</w:t>
      </w:r>
      <w:r w:rsidR="007862BD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7862BD">
        <w:rPr>
          <w:rFonts w:ascii="Cambria" w:hAnsi="Cambria" w:cstheme="minorHAnsi"/>
          <w:sz w:val="18"/>
          <w:szCs w:val="18"/>
          <w:lang w:val="uk-UA"/>
        </w:rPr>
        <w:t>і)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</w:t>
      </w:r>
      <w:r w:rsidR="004E5A0C">
        <w:rPr>
          <w:rFonts w:ascii="Cambria" w:hAnsi="Cambria" w:cstheme="minorHAnsi"/>
          <w:sz w:val="18"/>
          <w:szCs w:val="18"/>
          <w:lang w:val="uk-UA"/>
        </w:rPr>
        <w:t xml:space="preserve">зразків </w:t>
      </w:r>
      <w:r w:rsidRPr="0041789E">
        <w:rPr>
          <w:rFonts w:ascii="Cambria" w:hAnsi="Cambria" w:cstheme="minorHAnsi"/>
          <w:sz w:val="18"/>
          <w:szCs w:val="18"/>
          <w:lang w:val="uk-UA"/>
        </w:rPr>
        <w:t>встановленим вимогам</w:t>
      </w:r>
      <w:bookmarkEnd w:id="4"/>
      <w:r w:rsidRPr="0041789E">
        <w:rPr>
          <w:rFonts w:ascii="Cambria" w:hAnsi="Cambria" w:cstheme="minorHAnsi"/>
          <w:sz w:val="18"/>
          <w:szCs w:val="18"/>
          <w:lang w:val="uk-UA"/>
        </w:rPr>
        <w:t>.</w:t>
      </w:r>
      <w:bookmarkEnd w:id="5"/>
    </w:p>
    <w:bookmarkEnd w:id="6"/>
    <w:p w14:paraId="129C7B3D" w14:textId="58CF9C3C" w:rsidR="0041789E" w:rsidRPr="00B148B0" w:rsidRDefault="007862BD" w:rsidP="0055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7862BD">
        <w:rPr>
          <w:rFonts w:ascii="Cambria" w:hAnsi="Cambria" w:cstheme="minorHAnsi"/>
          <w:sz w:val="18"/>
          <w:szCs w:val="18"/>
          <w:lang w:val="uk-UA"/>
        </w:rPr>
        <w:t>Відповідно до Порядку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експертизи (випробування) зразків нехарчової продукції, що були відібрані в межах здійснення державного ринкового нагляду, затвердженого Постановою KM</w:t>
      </w:r>
      <w:r>
        <w:rPr>
          <w:rFonts w:ascii="Cambria" w:hAnsi="Cambria" w:cstheme="minorHAnsi"/>
          <w:sz w:val="18"/>
          <w:szCs w:val="18"/>
          <w:lang w:val="uk-UA"/>
        </w:rPr>
        <w:t>У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від 26 грудня 2011 року </w:t>
      </w:r>
      <w:r w:rsidR="001461DA">
        <w:rPr>
          <w:rFonts w:ascii="Cambria" w:hAnsi="Cambria" w:cstheme="minorHAnsi"/>
          <w:sz w:val="18"/>
          <w:szCs w:val="18"/>
          <w:lang w:val="uk-UA"/>
        </w:rPr>
        <w:t>№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1406 «Питан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я експертизи (випробування) зразків нехарчової продукції, що були відібрані в межах здійснення державного ринкового нагляду», </w:t>
      </w:r>
      <w:r>
        <w:rPr>
          <w:rFonts w:ascii="Cambria" w:hAnsi="Cambria" w:cstheme="minorHAnsi"/>
          <w:sz w:val="18"/>
          <w:szCs w:val="18"/>
          <w:lang w:val="uk-UA"/>
        </w:rPr>
        <w:t>Учасник (</w:t>
      </w:r>
      <w:bookmarkStart w:id="7" w:name="_Hlk158373695"/>
      <w:r w:rsidRPr="007862BD">
        <w:rPr>
          <w:rFonts w:ascii="Cambria" w:hAnsi="Cambria" w:cstheme="minorHAnsi"/>
          <w:sz w:val="18"/>
          <w:szCs w:val="18"/>
          <w:lang w:val="uk-UA"/>
        </w:rPr>
        <w:t>Виконавець</w:t>
      </w:r>
      <w:r>
        <w:rPr>
          <w:rFonts w:ascii="Cambria" w:hAnsi="Cambria" w:cstheme="minorHAnsi"/>
          <w:sz w:val="18"/>
          <w:szCs w:val="18"/>
          <w:lang w:val="uk-UA"/>
        </w:rPr>
        <w:t>)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 обов'язковому порядку встановлює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 використаної продукції внаслідок проведення експертизи (випробування) (далі- коефіцієнта зносу (</w:t>
      </w:r>
      <w:proofErr w:type="spellStart"/>
      <w:r w:rsidRPr="007862BD">
        <w:rPr>
          <w:rFonts w:ascii="Cambria" w:hAnsi="Cambria" w:cstheme="minorHAnsi"/>
          <w:sz w:val="18"/>
          <w:szCs w:val="18"/>
          <w:lang w:val="uk-UA"/>
        </w:rPr>
        <w:t>Кзн</w:t>
      </w:r>
      <w:proofErr w:type="spellEnd"/>
      <w:r w:rsidRPr="007862BD">
        <w:rPr>
          <w:rFonts w:ascii="Cambria" w:hAnsi="Cambria" w:cstheme="minorHAnsi"/>
          <w:sz w:val="18"/>
          <w:szCs w:val="18"/>
          <w:lang w:val="uk-UA"/>
        </w:rPr>
        <w:t xml:space="preserve">), за винятком зразків продукції, що </w:t>
      </w:r>
      <w:r>
        <w:rPr>
          <w:rFonts w:ascii="Cambria" w:hAnsi="Cambria" w:cstheme="minorHAnsi"/>
          <w:sz w:val="18"/>
          <w:szCs w:val="18"/>
          <w:lang w:val="uk-UA"/>
        </w:rPr>
        <w:t>є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небезпечними, становлять ризик та/або не відповідають встановленим вимогам щодо ïx безпечності, та разом з протоколом випробувань надають довідку про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зносу, для визначення залишкової вартості використаного зразка продукції</w:t>
      </w:r>
      <w:bookmarkEnd w:id="7"/>
      <w:r w:rsidRPr="007862BD">
        <w:rPr>
          <w:rFonts w:ascii="Cambria" w:hAnsi="Cambria" w:cstheme="minorHAnsi"/>
          <w:sz w:val="18"/>
          <w:szCs w:val="18"/>
          <w:lang w:val="uk-UA"/>
        </w:rPr>
        <w:t>.</w:t>
      </w:r>
      <w:r>
        <w:rPr>
          <w:rFonts w:ascii="Cambria" w:hAnsi="Cambria" w:cstheme="minorHAnsi"/>
          <w:sz w:val="18"/>
          <w:szCs w:val="18"/>
          <w:lang w:val="uk-UA"/>
        </w:rPr>
        <w:t xml:space="preserve"> </w:t>
      </w:r>
      <w:r w:rsidRPr="00B148B0">
        <w:rPr>
          <w:rFonts w:ascii="Cambria" w:hAnsi="Cambria"/>
          <w:sz w:val="18"/>
          <w:szCs w:val="18"/>
          <w:lang w:val="uk-UA"/>
        </w:rPr>
        <w:t xml:space="preserve">Для підтвердження </w:t>
      </w:r>
      <w:r w:rsidRPr="00B148B0">
        <w:rPr>
          <w:rFonts w:ascii="Cambria" w:hAnsi="Cambria"/>
          <w:b/>
          <w:bCs/>
          <w:sz w:val="18"/>
          <w:szCs w:val="18"/>
          <w:lang w:val="uk-UA"/>
        </w:rPr>
        <w:t>надати</w:t>
      </w:r>
      <w:r w:rsidRPr="00B148B0">
        <w:rPr>
          <w:rFonts w:ascii="Cambria" w:hAnsi="Cambria"/>
          <w:bCs/>
          <w:sz w:val="18"/>
          <w:szCs w:val="18"/>
          <w:lang w:val="uk-UA" w:eastAsia="ru-RU"/>
        </w:rPr>
        <w:t xml:space="preserve"> довідку у довільній формі.</w:t>
      </w:r>
    </w:p>
    <w:p w14:paraId="0B4DE73E" w14:textId="77777777" w:rsidR="006660D7" w:rsidRDefault="006660D7" w:rsidP="005544FB">
      <w:pPr>
        <w:tabs>
          <w:tab w:val="left" w:pos="-284"/>
          <w:tab w:val="left" w:pos="-142"/>
        </w:tabs>
        <w:ind w:left="-426"/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4FD19AFB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2A505AB" w14:textId="77777777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13BDAA44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3"/>
  </w:num>
  <w:num w:numId="3" w16cid:durableId="290329901">
    <w:abstractNumId w:val="2"/>
  </w:num>
  <w:num w:numId="4" w16cid:durableId="77320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B7AE2"/>
    <w:rsid w:val="000C0E87"/>
    <w:rsid w:val="000F1312"/>
    <w:rsid w:val="0011484E"/>
    <w:rsid w:val="001461DA"/>
    <w:rsid w:val="001F0B9D"/>
    <w:rsid w:val="00207614"/>
    <w:rsid w:val="00242EA5"/>
    <w:rsid w:val="00243D08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E5A0C"/>
    <w:rsid w:val="004F50CC"/>
    <w:rsid w:val="0055233A"/>
    <w:rsid w:val="005544FB"/>
    <w:rsid w:val="00584C19"/>
    <w:rsid w:val="005C1E41"/>
    <w:rsid w:val="005F7393"/>
    <w:rsid w:val="00625C46"/>
    <w:rsid w:val="00642CBB"/>
    <w:rsid w:val="006660D7"/>
    <w:rsid w:val="006B4A2F"/>
    <w:rsid w:val="0070726E"/>
    <w:rsid w:val="007862BD"/>
    <w:rsid w:val="00800B69"/>
    <w:rsid w:val="00817A0D"/>
    <w:rsid w:val="008C013C"/>
    <w:rsid w:val="008F5902"/>
    <w:rsid w:val="00945869"/>
    <w:rsid w:val="00947B8C"/>
    <w:rsid w:val="0096522B"/>
    <w:rsid w:val="00976CFB"/>
    <w:rsid w:val="00A33016"/>
    <w:rsid w:val="00A513DE"/>
    <w:rsid w:val="00A80D37"/>
    <w:rsid w:val="00AE1C02"/>
    <w:rsid w:val="00AE368C"/>
    <w:rsid w:val="00AE5380"/>
    <w:rsid w:val="00AF5290"/>
    <w:rsid w:val="00B07BD5"/>
    <w:rsid w:val="00B148B0"/>
    <w:rsid w:val="00B56CA2"/>
    <w:rsid w:val="00B736D7"/>
    <w:rsid w:val="00B923E2"/>
    <w:rsid w:val="00C0552E"/>
    <w:rsid w:val="00C7730C"/>
    <w:rsid w:val="00CD755E"/>
    <w:rsid w:val="00DD61E4"/>
    <w:rsid w:val="00E53626"/>
    <w:rsid w:val="00E76D23"/>
    <w:rsid w:val="00F0559A"/>
    <w:rsid w:val="00F260FC"/>
    <w:rsid w:val="00F31459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4198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4</cp:revision>
  <cp:lastPrinted>2023-09-12T08:34:00Z</cp:lastPrinted>
  <dcterms:created xsi:type="dcterms:W3CDTF">2024-04-02T13:24:00Z</dcterms:created>
  <dcterms:modified xsi:type="dcterms:W3CDTF">2024-04-03T05:54:00Z</dcterms:modified>
</cp:coreProperties>
</file>