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17B78" w14:textId="77777777" w:rsidR="00CF170A" w:rsidRPr="00E46CC0" w:rsidRDefault="00AF2FEC" w:rsidP="00CF170A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="00CF170A" w:rsidRPr="00CB3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="00CF170A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664AA8FF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94228F5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A2A358A" w14:textId="053B9051" w:rsidR="00CF170A" w:rsidRPr="00E46CC0" w:rsidRDefault="00CF170A" w:rsidP="00CF17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ПЕРЕЛІК ДОКУМЕНТІВ ТА ІНФОРМАЦІЇ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ДЛЯ ПІДТВЕРДЖЕННЯ ВІДПОВІДНОСТІ УЧАСНИКА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КВАЛІФІКАЦІЙНИМ КРИТЕРІЯМ, ВИЗНАЧЕНИМ У СТАТТІ 16 ЗАКОНУ “ПРО ПУБЛІЧНІ ЗАКУПІВЛІ”</w:t>
      </w:r>
    </w:p>
    <w:p w14:paraId="2054D69C" w14:textId="77777777" w:rsidR="00CF170A" w:rsidRPr="00E46CC0" w:rsidRDefault="00CF170A" w:rsidP="00CF170A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14:paraId="663AA020" w14:textId="77777777" w:rsidR="00916AF7" w:rsidRP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1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ТАБЛИЦЯ №1</w:t>
      </w:r>
    </w:p>
    <w:p w14:paraId="721DCEFA" w14:textId="77777777" w:rsidR="00916AF7" w:rsidRP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1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Довідка про </w:t>
      </w:r>
      <w:r w:rsidRPr="00916A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НАЯВНІСТЬ</w:t>
      </w:r>
      <w:r w:rsidRPr="0091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документально підтвердженого Досвіду виконання </w:t>
      </w:r>
      <w:r w:rsidRPr="00916A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аналогічного(</w:t>
      </w:r>
      <w:proofErr w:type="spellStart"/>
      <w:r w:rsidRPr="00916A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916A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)</w:t>
      </w:r>
      <w:r w:rsidRPr="0091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договору(</w:t>
      </w:r>
      <w:proofErr w:type="spellStart"/>
      <w:r w:rsidRPr="0091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91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).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394"/>
        <w:gridCol w:w="3273"/>
        <w:gridCol w:w="2410"/>
      </w:tblGrid>
      <w:tr w:rsidR="00916AF7" w:rsidRPr="00916AF7" w14:paraId="3A505FA6" w14:textId="77777777" w:rsidTr="00B03C7D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7C9A4779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45B4FA7F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Найменування, код ЄДРПОУ,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92CDDC"/>
            <w:vAlign w:val="center"/>
          </w:tcPr>
          <w:p w14:paraId="4AFAB89F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0F89877A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2A1F1363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Сума договору</w:t>
            </w:r>
          </w:p>
          <w:p w14:paraId="05377C0F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та сума</w:t>
            </w:r>
          </w:p>
          <w:p w14:paraId="3C9EFCAD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виконання договору</w:t>
            </w:r>
          </w:p>
        </w:tc>
      </w:tr>
      <w:tr w:rsidR="00916AF7" w:rsidRPr="00916AF7" w14:paraId="272CF8C2" w14:textId="77777777" w:rsidTr="00B03C7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3872453D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12D6F826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BFA8C1D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DE2B39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16A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16AF7" w:rsidRPr="00916AF7" w14:paraId="6FB7E362" w14:textId="77777777" w:rsidTr="00B03C7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034FF628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2DA3218B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664A9023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8879DC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916AF7" w:rsidRPr="00916AF7" w14:paraId="52DE6BD5" w14:textId="77777777" w:rsidTr="00B03C7D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7C9B071B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626C9536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AA522F0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C3A47BA" w14:textId="77777777" w:rsidR="00916AF7" w:rsidRPr="00916AF7" w:rsidRDefault="00916AF7" w:rsidP="00B03C7D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39DBAC3C" w14:textId="77777777" w:rsidR="00916AF7" w:rsidRP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14:paraId="3B6B5C2E" w14:textId="77777777" w:rsidR="00916AF7" w:rsidRP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* </w:t>
      </w:r>
      <w:r w:rsidRPr="0091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(під аналогічним договором слід розуміти </w:t>
      </w:r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val="uk-UA" w:eastAsia="ru-RU"/>
        </w:rPr>
        <w:t>повністю виконаний</w:t>
      </w:r>
      <w:r w:rsidRPr="0091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20BC1725" w14:textId="77777777" w:rsidR="00916AF7" w:rsidRP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14:paraId="6AD0B663" w14:textId="77777777" w:rsidR="00916AF7" w:rsidRP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       На підтвердження досвіду виконання аналогічного (аналогічних) договору (</w:t>
      </w:r>
      <w:proofErr w:type="spellStart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ів</w:t>
      </w:r>
      <w:proofErr w:type="spellEnd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), учасник має надати не менше 2 копій договорів, які мають бути підтверджені:</w:t>
      </w:r>
    </w:p>
    <w:p w14:paraId="63F1ECE6" w14:textId="77777777" w:rsidR="00916AF7" w:rsidRP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       - </w:t>
      </w:r>
      <w:proofErr w:type="spellStart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(ями) аналогічного(</w:t>
      </w:r>
      <w:proofErr w:type="spellStart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их</w:t>
      </w:r>
      <w:proofErr w:type="spellEnd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) договору(</w:t>
      </w:r>
      <w:proofErr w:type="spellStart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ів</w:t>
      </w:r>
      <w:proofErr w:type="spellEnd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) (з усіма додатками, зазначеними в договорі, як невід’ємні, інформація по якому (яких) відображена в Довідці;</w:t>
      </w:r>
    </w:p>
    <w:p w14:paraId="531A13FD" w14:textId="77777777" w:rsidR="00916AF7" w:rsidRP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       - </w:t>
      </w:r>
      <w:proofErr w:type="spellStart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інформація по якому (яких) відображена учасником в Довідці.</w:t>
      </w:r>
    </w:p>
    <w:p w14:paraId="2A7DA1FC" w14:textId="77777777" w:rsidR="00916AF7" w:rsidRP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      - копі(ї) </w:t>
      </w:r>
      <w:proofErr w:type="spellStart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аналогічн</w:t>
      </w:r>
      <w:proofErr w:type="spellEnd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(</w:t>
      </w:r>
      <w:proofErr w:type="spellStart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их</w:t>
      </w:r>
      <w:proofErr w:type="spellEnd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ів</w:t>
      </w:r>
      <w:proofErr w:type="spellEnd"/>
      <w:r w:rsidRPr="0091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).</w:t>
      </w:r>
    </w:p>
    <w:p w14:paraId="30BC088E" w14:textId="77777777" w:rsidR="00916AF7" w:rsidRDefault="00916AF7" w:rsidP="00916AF7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1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EC9273A" w14:textId="77777777" w:rsidR="007A60B3" w:rsidRPr="00E46CC0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5E23969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3ADE10C" w14:textId="77777777" w:rsidR="001D70D2" w:rsidRPr="00E46CC0" w:rsidRDefault="001D70D2" w:rsidP="001D70D2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ПЕРЕЛІК ДОКУМЕНТІВ ТА </w:t>
      </w:r>
      <w:proofErr w:type="gram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ІНФОРМАЦІЇ  ДЛЯ</w:t>
      </w:r>
      <w:proofErr w:type="gram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ПІДТВЕРДЖЕННЯ ВІДПОВІДНОСТІ ПЕРЕМОЖЦЯ ВИМОГАМ, ВИЗНАЧЕНИМ У ПУНКТІ</w:t>
      </w:r>
    </w:p>
    <w:p w14:paraId="643210FB" w14:textId="309F575C" w:rsidR="001D70D2" w:rsidRPr="00E46CC0" w:rsidRDefault="001D70D2" w:rsidP="001D70D2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47 ОСОБЛИВОСТЕЙ:</w:t>
      </w:r>
    </w:p>
    <w:p w14:paraId="11925D2D" w14:textId="77777777" w:rsidR="001D70D2" w:rsidRPr="00E46CC0" w:rsidRDefault="001D70D2" w:rsidP="001D7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249F1" w14:textId="77777777" w:rsidR="001D70D2" w:rsidRPr="00E46CC0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3, 5, 6 </w:t>
      </w:r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12 та в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47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9B9DD0" w14:textId="77777777" w:rsidR="001D70D2" w:rsidRPr="00E46CC0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за днем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6C01E065" w14:textId="77777777" w:rsidR="001D70D2" w:rsidRPr="00E46CC0" w:rsidRDefault="001D70D2" w:rsidP="001D7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A6680" w14:textId="5778705E" w:rsidR="001D70D2" w:rsidRPr="00E46CC0" w:rsidRDefault="001D70D2" w:rsidP="001D70D2">
      <w:pPr>
        <w:pStyle w:val="a6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p w14:paraId="4265D3BA" w14:textId="77777777" w:rsidR="001D70D2" w:rsidRPr="00E46CC0" w:rsidRDefault="001D70D2" w:rsidP="001D70D2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D70D2" w:rsidRPr="00E46CC0" w14:paraId="0A0D067B" w14:textId="77777777" w:rsidTr="00507CB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EDE0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57549F1D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F55F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299A358C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1540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E46CC0" w14:paraId="117615CD" w14:textId="77777777" w:rsidTr="00FC6BF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E4213" w14:textId="2ABC33EC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C6BF7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9EE2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C50FE9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E49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70D2" w:rsidRPr="00E46CC0" w14:paraId="2FA55434" w14:textId="77777777" w:rsidTr="00FC6BF7">
        <w:trPr>
          <w:trHeight w:val="2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248C" w14:textId="1120A26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C6BF7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0F35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1A466A4E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E42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4505F114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FE7398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отриманий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поточному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 </w:t>
            </w:r>
          </w:p>
        </w:tc>
      </w:tr>
      <w:tr w:rsidR="001D70D2" w:rsidRPr="00E46CC0" w14:paraId="093F0CB0" w14:textId="77777777" w:rsidTr="00FC6BF7">
        <w:trPr>
          <w:trHeight w:val="2535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C1B64" w14:textId="030634C1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B6A1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C11F62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5B29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70D2" w:rsidRPr="00E46CC0" w14:paraId="5702135C" w14:textId="77777777" w:rsidTr="003D0FF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678C7" w14:textId="202286E3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5705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3AEAFD6F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6204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відповідно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707DDCE7" w14:textId="6071265C" w:rsidR="001D70D2" w:rsidRPr="00E46CC0" w:rsidRDefault="001D70D2" w:rsidP="00AD2BF0">
      <w:pPr>
        <w:pStyle w:val="a6"/>
        <w:numPr>
          <w:ilvl w:val="1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Документи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ПЕРЕМОЖЦЕМ (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507981B0" w14:textId="77777777" w:rsidR="00AD2BF0" w:rsidRPr="00E46CC0" w:rsidRDefault="00AD2BF0" w:rsidP="00AD2BF0">
      <w:pPr>
        <w:pStyle w:val="a6"/>
        <w:spacing w:before="240"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357"/>
        <w:gridCol w:w="4605"/>
      </w:tblGrid>
      <w:tr w:rsidR="001D70D2" w:rsidRPr="00E46CC0" w14:paraId="51A4F596" w14:textId="77777777" w:rsidTr="003D0FF7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767E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C1E7AE4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62BA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1A17AF8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7089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E46CC0" w14:paraId="7ABE136A" w14:textId="77777777" w:rsidTr="007A60B3">
        <w:trPr>
          <w:trHeight w:val="87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E4FB6" w14:textId="679D83D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D940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63F47C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CF0E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</w:t>
            </w:r>
            <w:proofErr w:type="gram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є 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proofErr w:type="gram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70D2" w:rsidRPr="00E46CC0" w14:paraId="4F4A41A3" w14:textId="77777777" w:rsidTr="003D0FF7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C6B6" w14:textId="20D7A3A0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220A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793D9F03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3DE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3FF6DFCD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F49D7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отриманий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поточному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70D2" w:rsidRPr="00E46CC0" w14:paraId="369A190C" w14:textId="77777777" w:rsidTr="003D0FF7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EED7" w14:textId="0BAD06C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AC23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ED78246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7CD0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0D2" w:rsidRPr="00E46CC0" w14:paraId="62865DD1" w14:textId="77777777" w:rsidTr="003D0FF7">
        <w:trPr>
          <w:trHeight w:val="409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FA0E6" w14:textId="07E97EA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297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4114FF4B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C46C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57C9FB0F" w14:textId="77777777" w:rsidR="001D70D2" w:rsidRPr="00E46CC0" w:rsidRDefault="001D70D2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974CA8" w14:textId="77777777" w:rsidR="007A60B3" w:rsidRPr="00916AF7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4D3CB5C" w14:textId="411AD7F1" w:rsidR="001D70D2" w:rsidRPr="00E46CC0" w:rsidRDefault="001D70D2" w:rsidP="001D70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Інша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встановлена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законодавства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(для УЧАСНИКІВ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підприємців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14:paraId="35FEE567" w14:textId="77777777" w:rsidR="007A60B3" w:rsidRPr="00E46CC0" w:rsidRDefault="007A60B3" w:rsidP="007A60B3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9103"/>
      </w:tblGrid>
      <w:tr w:rsidR="001D70D2" w:rsidRPr="00E46CC0" w14:paraId="56EE7489" w14:textId="77777777" w:rsidTr="00507C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2D94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916AF7" w14:paraId="03A0F675" w14:textId="77777777" w:rsidTr="00177093">
        <w:trPr>
          <w:trHeight w:val="80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989A8" w14:textId="23AC59EF" w:rsidR="001D70D2" w:rsidRPr="00E46CC0" w:rsidRDefault="001D70D2" w:rsidP="00507CB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BC5C" w14:textId="77777777" w:rsidR="001D70D2" w:rsidRPr="00E46CC0" w:rsidRDefault="001D70D2" w:rsidP="00507C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D70D2" w:rsidRPr="00E46CC0" w14:paraId="38155360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BA298" w14:textId="151FDCEA" w:rsidR="001D70D2" w:rsidRPr="00E46CC0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94FC" w14:textId="77777777" w:rsidR="001D70D2" w:rsidRPr="00E46CC0" w:rsidRDefault="001D70D2" w:rsidP="00507CB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чинну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характеру.</w:t>
            </w:r>
          </w:p>
        </w:tc>
      </w:tr>
      <w:tr w:rsidR="001D70D2" w:rsidRPr="00E46CC0" w14:paraId="525A538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C5CD3" w14:textId="026AC1B9" w:rsidR="001D70D2" w:rsidRPr="00E46CC0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C10D" w14:textId="1F96F735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ED5289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ED5289" w:rsidRPr="00E46CC0">
              <w:rPr>
                <w:lang w:val="uk-UA"/>
              </w:rPr>
              <w:t xml:space="preserve"> </w:t>
            </w:r>
            <w:r w:rsidR="00ED5289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Ісламської Республіки Іран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287E49E" w14:textId="77777777" w:rsidR="001D70D2" w:rsidRPr="00E46CC0" w:rsidRDefault="001D70D2" w:rsidP="0050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агентству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слідчого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суду,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засвідчену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а також: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майном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агентством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управителем,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0EAA" w:rsidRPr="00E46CC0" w14:paraId="74D1DD4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A9C18" w14:textId="758247C7" w:rsidR="004A0EAA" w:rsidRPr="00E46CC0" w:rsidRDefault="004A0EAA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4884" w14:textId="3E38C3A4" w:rsidR="004A0EAA" w:rsidRPr="00E46CC0" w:rsidRDefault="004A0EAA" w:rsidP="000E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у складі тендерної пропозиції подає підписаний та скріплений печаткою Додаток  № 2</w:t>
            </w:r>
            <w:r w:rsidR="000E481F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</w:tr>
    </w:tbl>
    <w:p w14:paraId="6232D466" w14:textId="77777777" w:rsidR="00D50B40" w:rsidRPr="001D70D2" w:rsidRDefault="00D50B40" w:rsidP="00CF170A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1F77458" w14:textId="3DB0CF28" w:rsidR="00ED353A" w:rsidRPr="001D70D2" w:rsidRDefault="00ED353A" w:rsidP="00694B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ED353A" w:rsidRPr="001D70D2" w:rsidSect="00694C66">
      <w:footerReference w:type="default" r:id="rId8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FC858" w14:textId="77777777" w:rsidR="00694C66" w:rsidRDefault="00694C66" w:rsidP="007A60B3">
      <w:pPr>
        <w:spacing w:after="0" w:line="240" w:lineRule="auto"/>
      </w:pPr>
      <w:r>
        <w:separator/>
      </w:r>
    </w:p>
  </w:endnote>
  <w:endnote w:type="continuationSeparator" w:id="0">
    <w:p w14:paraId="60FB816B" w14:textId="77777777" w:rsidR="00694C66" w:rsidRDefault="00694C66" w:rsidP="007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9018483"/>
      <w:docPartObj>
        <w:docPartGallery w:val="Page Numbers (Bottom of Page)"/>
        <w:docPartUnique/>
      </w:docPartObj>
    </w:sdtPr>
    <w:sdtEndPr/>
    <w:sdtContent>
      <w:p w14:paraId="56FB13C8" w14:textId="4BEDA798" w:rsidR="007A60B3" w:rsidRDefault="007A60B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55215A3" w14:textId="77777777" w:rsidR="007A60B3" w:rsidRDefault="007A60B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10696" w14:textId="77777777" w:rsidR="00694C66" w:rsidRDefault="00694C66" w:rsidP="007A60B3">
      <w:pPr>
        <w:spacing w:after="0" w:line="240" w:lineRule="auto"/>
      </w:pPr>
      <w:r>
        <w:separator/>
      </w:r>
    </w:p>
  </w:footnote>
  <w:footnote w:type="continuationSeparator" w:id="0">
    <w:p w14:paraId="5FBDF72A" w14:textId="77777777" w:rsidR="00694C66" w:rsidRDefault="00694C66" w:rsidP="007A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3233B"/>
    <w:multiLevelType w:val="multilevel"/>
    <w:tmpl w:val="AED6C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F5723A"/>
    <w:multiLevelType w:val="multilevel"/>
    <w:tmpl w:val="BC70A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AA0B49"/>
    <w:multiLevelType w:val="multilevel"/>
    <w:tmpl w:val="20A4A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9375EA"/>
    <w:multiLevelType w:val="multilevel"/>
    <w:tmpl w:val="E48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1AB557A"/>
    <w:multiLevelType w:val="multilevel"/>
    <w:tmpl w:val="46ACA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5" w15:restartNumberingAfterBreak="0">
    <w:nsid w:val="5AA12543"/>
    <w:multiLevelType w:val="multilevel"/>
    <w:tmpl w:val="7B7A8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127D98"/>
    <w:multiLevelType w:val="multilevel"/>
    <w:tmpl w:val="EA986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857809">
    <w:abstractNumId w:val="1"/>
  </w:num>
  <w:num w:numId="2" w16cid:durableId="1259019904">
    <w:abstractNumId w:val="5"/>
  </w:num>
  <w:num w:numId="3" w16cid:durableId="946162160">
    <w:abstractNumId w:val="3"/>
  </w:num>
  <w:num w:numId="4" w16cid:durableId="1279216411">
    <w:abstractNumId w:val="0"/>
  </w:num>
  <w:num w:numId="5" w16cid:durableId="2119131067">
    <w:abstractNumId w:val="6"/>
  </w:num>
  <w:num w:numId="6" w16cid:durableId="1472013183">
    <w:abstractNumId w:val="2"/>
  </w:num>
  <w:num w:numId="7" w16cid:durableId="480581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804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A"/>
    <w:rsid w:val="000C1E11"/>
    <w:rsid w:val="000C68C0"/>
    <w:rsid w:val="000E481F"/>
    <w:rsid w:val="00177093"/>
    <w:rsid w:val="00185293"/>
    <w:rsid w:val="001D70D2"/>
    <w:rsid w:val="001F1F9E"/>
    <w:rsid w:val="001F2250"/>
    <w:rsid w:val="002103A4"/>
    <w:rsid w:val="003D0FF7"/>
    <w:rsid w:val="003E488A"/>
    <w:rsid w:val="00442E2A"/>
    <w:rsid w:val="004A0EAA"/>
    <w:rsid w:val="005013EE"/>
    <w:rsid w:val="005230F9"/>
    <w:rsid w:val="00545DCE"/>
    <w:rsid w:val="0057701A"/>
    <w:rsid w:val="00694B29"/>
    <w:rsid w:val="00694C66"/>
    <w:rsid w:val="007A60B3"/>
    <w:rsid w:val="008236E2"/>
    <w:rsid w:val="00915C01"/>
    <w:rsid w:val="00916AF7"/>
    <w:rsid w:val="00957986"/>
    <w:rsid w:val="00974D3B"/>
    <w:rsid w:val="00982231"/>
    <w:rsid w:val="009C7343"/>
    <w:rsid w:val="00A50C2B"/>
    <w:rsid w:val="00A57B9D"/>
    <w:rsid w:val="00AD2BF0"/>
    <w:rsid w:val="00AF2FEC"/>
    <w:rsid w:val="00B71CED"/>
    <w:rsid w:val="00BB3FCB"/>
    <w:rsid w:val="00CB3779"/>
    <w:rsid w:val="00CF170A"/>
    <w:rsid w:val="00D50B40"/>
    <w:rsid w:val="00DA0A25"/>
    <w:rsid w:val="00DA6556"/>
    <w:rsid w:val="00E46CC0"/>
    <w:rsid w:val="00E85458"/>
    <w:rsid w:val="00ED353A"/>
    <w:rsid w:val="00ED5289"/>
    <w:rsid w:val="00EF04DF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8DA"/>
  <w15:docId w15:val="{D679D48D-6C8B-4CBD-A6E5-4FD0128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0">
    <w:name w:val="Основной текст (2)_"/>
    <w:basedOn w:val="a0"/>
    <w:link w:val="21"/>
    <w:rsid w:val="00AF2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AF2F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AF2FEC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0"/>
    <w:rsid w:val="00AF2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a">
    <w:name w:val="No Spacing"/>
    <w:uiPriority w:val="1"/>
    <w:qFormat/>
    <w:rsid w:val="00D50B40"/>
    <w:pPr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paragraph" w:styleId="afb">
    <w:name w:val="header"/>
    <w:basedOn w:val="a"/>
    <w:link w:val="afc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7A60B3"/>
  </w:style>
  <w:style w:type="paragraph" w:styleId="afd">
    <w:name w:val="footer"/>
    <w:basedOn w:val="a"/>
    <w:link w:val="afe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7A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7670</Words>
  <Characters>4372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31</cp:revision>
  <dcterms:created xsi:type="dcterms:W3CDTF">2023-06-21T12:20:00Z</dcterms:created>
  <dcterms:modified xsi:type="dcterms:W3CDTF">2024-03-01T10:26:00Z</dcterms:modified>
</cp:coreProperties>
</file>