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60C0418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162EF2CC"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 xml:space="preserve">командира частини </w:t>
      </w:r>
      <w:proofErr w:type="spellStart"/>
      <w:r w:rsidRPr="00D37AC7">
        <w:rPr>
          <w:color w:val="000000" w:themeColor="text1"/>
          <w:sz w:val="25"/>
          <w:szCs w:val="25"/>
          <w:lang w:val="uk-UA"/>
        </w:rPr>
        <w:t>Родікова</w:t>
      </w:r>
      <w:proofErr w:type="spellEnd"/>
      <w:r w:rsidRPr="00D37AC7">
        <w:rPr>
          <w:color w:val="000000" w:themeColor="text1"/>
          <w:sz w:val="25"/>
          <w:szCs w:val="25"/>
          <w:lang w:val="uk-UA"/>
        </w:rPr>
        <w:t xml:space="preserve"> Володимира Геннадійовича,</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9295640"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6E17B94B" w:rsidR="00B63FD0" w:rsidRDefault="0007702D" w:rsidP="00B63FD0">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 xml:space="preserve">із застосуванням електронної системи </w:t>
      </w:r>
      <w:proofErr w:type="spellStart"/>
      <w:r w:rsidR="00B63FD0" w:rsidRPr="00B63FD0">
        <w:rPr>
          <w:rFonts w:ascii="Times New Roman" w:hAnsi="Times New Roman" w:cs="Times New Roman"/>
          <w:color w:val="000000" w:themeColor="text1"/>
          <w:sz w:val="25"/>
          <w:szCs w:val="25"/>
          <w:lang w:val="uk-UA"/>
        </w:rPr>
        <w:t>закупівель</w:t>
      </w:r>
      <w:proofErr w:type="spellEnd"/>
      <w:r w:rsidR="00B63FD0" w:rsidRPr="00B63FD0">
        <w:rPr>
          <w:rFonts w:ascii="Times New Roman" w:hAnsi="Times New Roman" w:cs="Times New Roman"/>
          <w:color w:val="000000" w:themeColor="text1"/>
          <w:sz w:val="25"/>
          <w:szCs w:val="25"/>
          <w:lang w:val="uk-UA"/>
        </w:rPr>
        <w:t xml:space="preserve">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w:t>
      </w:r>
      <w:proofErr w:type="spellStart"/>
      <w:r w:rsidR="00B63FD0">
        <w:rPr>
          <w:rFonts w:ascii="Times New Roman" w:hAnsi="Times New Roman"/>
          <w:color w:val="000000" w:themeColor="text1"/>
          <w:sz w:val="25"/>
          <w:szCs w:val="25"/>
          <w:lang w:val="uk-UA"/>
        </w:rPr>
        <w:t>закупівель</w:t>
      </w:r>
      <w:proofErr w:type="spellEnd"/>
      <w:r w:rsidR="00B63FD0">
        <w:rPr>
          <w:rFonts w:ascii="Times New Roman" w:hAnsi="Times New Roman"/>
          <w:color w:val="000000" w:themeColor="text1"/>
          <w:sz w:val="25"/>
          <w:szCs w:val="25"/>
          <w:lang w:val="uk-UA"/>
        </w:rPr>
        <w:t xml:space="preserve">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B63FD0">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w:t>
      </w:r>
      <w:proofErr w:type="spellStart"/>
      <w:r w:rsidRPr="00D37AC7">
        <w:rPr>
          <w:color w:val="000000" w:themeColor="text1"/>
          <w:sz w:val="25"/>
          <w:szCs w:val="25"/>
          <w:lang w:val="uk-UA" w:eastAsia="en-US"/>
        </w:rPr>
        <w:t>здійснюватись</w:t>
      </w:r>
      <w:proofErr w:type="spellEnd"/>
      <w:r w:rsidRPr="00D37AC7">
        <w:rPr>
          <w:color w:val="000000" w:themeColor="text1"/>
          <w:sz w:val="25"/>
          <w:szCs w:val="25"/>
          <w:lang w:val="uk-UA" w:eastAsia="en-US"/>
        </w:rPr>
        <w:t xml:space="preserve">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37AC7">
        <w:rPr>
          <w:color w:val="000000" w:themeColor="text1"/>
          <w:sz w:val="25"/>
          <w:szCs w:val="25"/>
          <w:lang w:val="uk-UA" w:eastAsia="en-US"/>
        </w:rPr>
        <w:t>бенефіціарними</w:t>
      </w:r>
      <w:proofErr w:type="spellEnd"/>
      <w:r w:rsidRPr="00D37AC7">
        <w:rPr>
          <w:color w:val="000000" w:themeColor="text1"/>
          <w:sz w:val="25"/>
          <w:szCs w:val="25"/>
          <w:lang w:val="uk-UA" w:eastAsia="en-US"/>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lastRenderedPageBreak/>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proofErr w:type="spellEnd"/>
      <w:r w:rsidR="00870CC0" w:rsidRPr="00D37AC7">
        <w:rPr>
          <w:rFonts w:ascii="Times New Roman" w:hAnsi="Times New Roman" w:cs="Times New Roman"/>
          <w:color w:val="000000" w:themeColor="text1"/>
          <w:sz w:val="25"/>
          <w:szCs w:val="25"/>
          <w:lang w:val="uk-UA"/>
        </w:rPr>
        <w:t>.</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lastRenderedPageBreak/>
        <w:t>5. ПОСТАВКА ТОВАРУ</w:t>
      </w:r>
    </w:p>
    <w:p w14:paraId="17D0A830" w14:textId="3EF32244"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5.1. </w:t>
      </w:r>
      <w:r w:rsidR="00A80947">
        <w:rPr>
          <w:rFonts w:ascii="Times New Roman" w:hAnsi="Times New Roman" w:cs="Times New Roman"/>
          <w:color w:val="000000" w:themeColor="text1"/>
          <w:sz w:val="25"/>
          <w:szCs w:val="25"/>
          <w:lang w:val="uk-UA"/>
        </w:rPr>
        <w:t>Строк</w:t>
      </w:r>
      <w:r w:rsidRPr="00D37AC7">
        <w:rPr>
          <w:rFonts w:ascii="Times New Roman" w:hAnsi="Times New Roman" w:cs="Times New Roman"/>
          <w:color w:val="000000" w:themeColor="text1"/>
          <w:sz w:val="25"/>
          <w:szCs w:val="25"/>
          <w:lang w:val="uk-UA"/>
        </w:rPr>
        <w:t xml:space="preserve">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D37AC7">
        <w:rPr>
          <w:rFonts w:ascii="Times New Roman" w:eastAsia="Times New Roman" w:hAnsi="Times New Roman" w:cs="Times New Roman"/>
          <w:color w:val="000000" w:themeColor="text1"/>
          <w:sz w:val="25"/>
          <w:szCs w:val="25"/>
          <w:lang w:val="uk-UA" w:bidi="ta-IN"/>
        </w:rPr>
        <w:t>п.п</w:t>
      </w:r>
      <w:proofErr w:type="spellEnd"/>
      <w:r w:rsidRPr="00D37AC7">
        <w:rPr>
          <w:rFonts w:ascii="Times New Roman" w:eastAsia="Times New Roman" w:hAnsi="Times New Roman" w:cs="Times New Roman"/>
          <w:color w:val="000000" w:themeColor="text1"/>
          <w:sz w:val="25"/>
          <w:szCs w:val="25"/>
          <w:lang w:val="uk-UA" w:bidi="ta-IN"/>
        </w:rPr>
        <w:t>.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w:t>
      </w:r>
      <w:proofErr w:type="spellStart"/>
      <w:r w:rsidR="00870CC0" w:rsidRPr="00D37AC7">
        <w:rPr>
          <w:rFonts w:ascii="Times New Roman" w:hAnsi="Times New Roman"/>
          <w:color w:val="000000" w:themeColor="text1"/>
          <w:sz w:val="25"/>
          <w:szCs w:val="25"/>
        </w:rPr>
        <w:t>п.п</w:t>
      </w:r>
      <w:proofErr w:type="spellEnd"/>
      <w:r w:rsidR="00870CC0" w:rsidRPr="00D37AC7">
        <w:rPr>
          <w:rFonts w:ascii="Times New Roman" w:hAnsi="Times New Roman"/>
          <w:color w:val="000000" w:themeColor="text1"/>
          <w:sz w:val="25"/>
          <w:szCs w:val="25"/>
        </w:rPr>
        <w:t>.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 xml:space="preserve">6.3.5. У випадку переходу на спрощену систему оподаткування повідомляти </w:t>
      </w:r>
      <w:r w:rsidRPr="00D37AC7">
        <w:rPr>
          <w:rFonts w:ascii="Times New Roman" w:hAnsi="Times New Roman"/>
          <w:color w:val="000000" w:themeColor="text1"/>
          <w:sz w:val="25"/>
          <w:szCs w:val="25"/>
        </w:rPr>
        <w:lastRenderedPageBreak/>
        <w:t>Замовника протягом 3(трьох) діб про такий перехід для внесення відповідних змін до 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7F82DEA1"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49046BE6" w14:textId="77777777" w:rsidR="004F48E7" w:rsidRPr="004F48E7" w:rsidRDefault="004F48E7" w:rsidP="004F48E7">
      <w:pPr>
        <w:pStyle w:val="3"/>
        <w:tabs>
          <w:tab w:val="left" w:pos="1235"/>
        </w:tabs>
        <w:spacing w:line="240" w:lineRule="auto"/>
        <w:ind w:right="20" w:firstLine="709"/>
        <w:jc w:val="center"/>
        <w:rPr>
          <w:rFonts w:eastAsiaTheme="minorEastAsia"/>
          <w:b/>
          <w:color w:val="000000" w:themeColor="text1"/>
          <w:sz w:val="25"/>
          <w:szCs w:val="25"/>
        </w:rPr>
      </w:pPr>
      <w:r w:rsidRPr="004F48E7">
        <w:rPr>
          <w:rFonts w:eastAsiaTheme="minorEastAsia"/>
          <w:b/>
          <w:color w:val="000000" w:themeColor="text1"/>
          <w:sz w:val="25"/>
          <w:szCs w:val="25"/>
        </w:rPr>
        <w:t>8. ОБСТАВИНИ НЕПЕРЕБОРНОЇ СИЛИ</w:t>
      </w:r>
    </w:p>
    <w:p w14:paraId="49AC41B4"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8.1. Сторони звільняються від відповідальності за невиконання (часткове чи повне)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bookmarkStart w:id="6" w:name="_GoBack"/>
      <w:bookmarkEnd w:id="6"/>
    </w:p>
    <w:p w14:paraId="7061667D"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8.2.</w:t>
      </w:r>
      <w:r w:rsidRPr="004F48E7">
        <w:rPr>
          <w:rFonts w:eastAsiaTheme="minorEastAsia"/>
          <w:color w:val="000000" w:themeColor="text1"/>
          <w:sz w:val="25"/>
          <w:szCs w:val="25"/>
        </w:rPr>
        <w:tab/>
        <w:t xml:space="preserve">Сторона, що не може виконувати зобов’язання за Договором унаслідок дії обставин непереборної сили, повинна не пізніше ніж протягом 5 (п’яти) календарних </w:t>
      </w:r>
      <w:r w:rsidRPr="004F48E7">
        <w:rPr>
          <w:rFonts w:eastAsiaTheme="minorEastAsia"/>
          <w:color w:val="000000" w:themeColor="text1"/>
          <w:sz w:val="25"/>
          <w:szCs w:val="25"/>
        </w:rPr>
        <w:lastRenderedPageBreak/>
        <w:t>днів з моменту їх виникнення повідомити про це в письмовій формі іншу Сторону.</w:t>
      </w:r>
    </w:p>
    <w:p w14:paraId="63A5A9EA"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6574746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8.3 Доказом виникнення обставин непереборної сили є сертифікат, який видається Торгово-промисловою палатою України або регіональними торгово-промисловими палатами.</w:t>
      </w:r>
    </w:p>
    <w:p w14:paraId="3FA2CA65"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8.4 У разі коли строк дії обставин непереборної сили продовжується більше ніж </w:t>
      </w:r>
    </w:p>
    <w:p w14:paraId="633B4DE5"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30 календарних днів, кожна із Сторін має право розірвати Договір в установленому порядку.</w:t>
      </w:r>
    </w:p>
    <w:p w14:paraId="752835C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Якщо обставини, зазначені у пункті 8.1 Договору, будуть продовжуватися більше </w:t>
      </w:r>
    </w:p>
    <w:p w14:paraId="22A459EE"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161AC75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1C5D4FAF"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42C6BD9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або регіональними торгово-промисловими палатами.</w:t>
      </w:r>
    </w:p>
    <w:p w14:paraId="5D63717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або регіональними торгово-промисловими палатами.</w:t>
      </w:r>
    </w:p>
    <w:p w14:paraId="4B03C90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54D04A48" w14:textId="028DABB3" w:rsidR="00255999" w:rsidRPr="004F48E7" w:rsidRDefault="004F48E7" w:rsidP="004F48E7">
      <w:pPr>
        <w:pStyle w:val="3"/>
        <w:shd w:val="clear" w:color="auto" w:fill="auto"/>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8.8. Сторони усвідомлюють, що даний Договір укладається під час дії в Україні правового режиму воєнного стану, а тому сам факт дії воєнного стану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постачатися Товар, знищення безпосередньо Товару та/або бази/складів/приміщень Постачальника, де тимчасово зберігається у разі відсутності встановленим порядком інформації від Замовника щодо місця  постачання товару) товар для Замовника, тощо під час дії правового режиму воєнного стану, що буде підтверджено документами, які видаються відповідними уповноваженими органами.</w:t>
      </w:r>
    </w:p>
    <w:p w14:paraId="1000A641" w14:textId="77777777" w:rsidR="004F48E7" w:rsidRPr="00D37AC7" w:rsidRDefault="004F48E7" w:rsidP="004F48E7">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lastRenderedPageBreak/>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42BB46C9"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203642" w:rsidRPr="00D37AC7">
        <w:rPr>
          <w:color w:val="000000" w:themeColor="text1"/>
          <w:sz w:val="25"/>
          <w:szCs w:val="25"/>
        </w:rPr>
        <w:t>3</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571312EF"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 xml:space="preserve">3) закінчення </w:t>
      </w:r>
      <w:r w:rsidR="00A80947">
        <w:rPr>
          <w:color w:val="000000" w:themeColor="text1"/>
          <w:sz w:val="25"/>
          <w:szCs w:val="25"/>
          <w:lang w:val="uk-UA"/>
        </w:rPr>
        <w:t>строку</w:t>
      </w:r>
      <w:r w:rsidRPr="00D37AC7">
        <w:rPr>
          <w:color w:val="000000" w:themeColor="text1"/>
          <w:sz w:val="25"/>
          <w:szCs w:val="25"/>
          <w:lang w:val="uk-UA"/>
        </w:rPr>
        <w:t xml:space="preserve">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11CA2C46" w:rsidR="001636CA"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14113DEB" w14:textId="6EC0558A" w:rsidR="00A80947" w:rsidRPr="00D37AC7" w:rsidRDefault="00A80947" w:rsidP="00A80947">
      <w:pPr>
        <w:pStyle w:val="210"/>
        <w:spacing w:after="0" w:line="240" w:lineRule="auto"/>
        <w:ind w:left="709" w:firstLine="15"/>
        <w:jc w:val="both"/>
        <w:rPr>
          <w:color w:val="000000" w:themeColor="text1"/>
          <w:sz w:val="25"/>
          <w:szCs w:val="25"/>
          <w:lang w:val="uk-UA"/>
        </w:rPr>
      </w:pPr>
      <w:r>
        <w:rPr>
          <w:color w:val="000000" w:themeColor="text1"/>
          <w:sz w:val="25"/>
          <w:szCs w:val="25"/>
          <w:lang w:val="uk-UA"/>
        </w:rPr>
        <w:t>6) обставини, передбачені п. 6.2.3. Договору</w:t>
      </w:r>
    </w:p>
    <w:p w14:paraId="72E558C5" w14:textId="16FFFC3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A80947">
        <w:rPr>
          <w:color w:val="000000" w:themeColor="text1"/>
          <w:sz w:val="25"/>
          <w:szCs w:val="25"/>
          <w:lang w:val="uk-UA"/>
        </w:rPr>
        <w:t>7</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lastRenderedPageBreak/>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49B1A360" w:rsidR="002551A8" w:rsidRPr="00D37AC7" w:rsidRDefault="000277A0"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ФОП</w:t>
            </w:r>
            <w:r w:rsidR="00FA10AA"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(03849) 5-02-90</w:t>
            </w: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5D6F3B3D"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0F407120" w14:textId="0DE214E6"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r w:rsidR="00821C91">
              <w:rPr>
                <w:position w:val="-2"/>
                <w:sz w:val="24"/>
                <w:szCs w:val="24"/>
                <w:lang w:val="en-US"/>
              </w:rPr>
              <w:t>UA</w:t>
            </w:r>
            <w:r w:rsidR="00821C91">
              <w:rPr>
                <w:position w:val="-2"/>
                <w:sz w:val="24"/>
                <w:szCs w:val="24"/>
              </w:rPr>
              <w:t>888201720343120001000016526</w:t>
            </w:r>
          </w:p>
          <w:p w14:paraId="3640838F"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6403E1DC"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код ЄДРПОУ 24982999</w:t>
            </w: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77777777" w:rsidR="006E7BEB" w:rsidRPr="00973E6D" w:rsidRDefault="006E7BEB" w:rsidP="002F12C7">
            <w:pPr>
              <w:pStyle w:val="a3"/>
              <w:spacing w:line="252" w:lineRule="auto"/>
              <w:jc w:val="right"/>
              <w:rPr>
                <w:color w:val="000000" w:themeColor="text1"/>
                <w:sz w:val="25"/>
                <w:szCs w:val="25"/>
              </w:rPr>
            </w:pPr>
            <w:r w:rsidRPr="00973E6D">
              <w:rPr>
                <w:color w:val="000000" w:themeColor="text1"/>
                <w:sz w:val="25"/>
                <w:szCs w:val="25"/>
              </w:rPr>
              <w:t>Володимир РОДІКОВ</w:t>
            </w: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2CFA2099" w14:textId="345A6BA6"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proofErr w:type="spellStart"/>
      <w:r w:rsidRPr="00D37AC7">
        <w:rPr>
          <w:rFonts w:ascii="Times New Roman" w:hAnsi="Times New Roman" w:cs="Times New Roman"/>
          <w:color w:val="000000" w:themeColor="text1"/>
          <w:sz w:val="25"/>
          <w:szCs w:val="25"/>
        </w:rPr>
        <w:t>Додаток</w:t>
      </w:r>
      <w:proofErr w:type="spellEnd"/>
      <w:r w:rsidRPr="00D37AC7">
        <w:rPr>
          <w:rFonts w:ascii="Times New Roman" w:hAnsi="Times New Roman" w:cs="Times New Roman"/>
          <w:color w:val="000000" w:themeColor="text1"/>
          <w:sz w:val="25"/>
          <w:szCs w:val="25"/>
        </w:rPr>
        <w:t xml:space="preserve">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proofErr w:type="spellStart"/>
      <w:r w:rsidRPr="00D37AC7">
        <w:rPr>
          <w:rFonts w:ascii="Times New Roman" w:hAnsi="Times New Roman" w:cs="Times New Roman"/>
          <w:color w:val="000000" w:themeColor="text1"/>
          <w:sz w:val="25"/>
          <w:szCs w:val="25"/>
        </w:rPr>
        <w:t>від</w:t>
      </w:r>
      <w:proofErr w:type="spellEnd"/>
      <w:r w:rsidRPr="00D37AC7">
        <w:rPr>
          <w:rFonts w:ascii="Times New Roman" w:hAnsi="Times New Roman" w:cs="Times New Roman"/>
          <w:color w:val="000000" w:themeColor="text1"/>
          <w:sz w:val="25"/>
          <w:szCs w:val="25"/>
        </w:rPr>
        <w:t xml:space="preserve"> “__</w:t>
      </w:r>
      <w:proofErr w:type="gramStart"/>
      <w:r w:rsidRPr="00D37AC7">
        <w:rPr>
          <w:rFonts w:ascii="Times New Roman" w:hAnsi="Times New Roman" w:cs="Times New Roman"/>
          <w:color w:val="000000" w:themeColor="text1"/>
          <w:sz w:val="25"/>
          <w:szCs w:val="25"/>
        </w:rPr>
        <w:t>_”_</w:t>
      </w:r>
      <w:proofErr w:type="gramEnd"/>
      <w:r w:rsidRPr="00D37AC7">
        <w:rPr>
          <w:rFonts w:ascii="Times New Roman" w:hAnsi="Times New Roman" w:cs="Times New Roman"/>
          <w:color w:val="000000" w:themeColor="text1"/>
          <w:sz w:val="25"/>
          <w:szCs w:val="25"/>
        </w:rPr>
        <w:t>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0AD281C" w14:textId="77777777"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м. Кам’янець – Подільський  та </w:t>
      </w:r>
    </w:p>
    <w:p w14:paraId="2DE888A0" w14:textId="466B5552" w:rsidR="00EF2464" w:rsidRPr="00D37AC7" w:rsidRDefault="001C0658"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FA10AA"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proofErr w:type="spellStart"/>
            <w:r w:rsidR="00CF38CF" w:rsidRPr="00D37AC7">
              <w:rPr>
                <w:color w:val="000000" w:themeColor="text1"/>
                <w:sz w:val="25"/>
                <w:szCs w:val="25"/>
                <w:lang w:val="ru-RU"/>
              </w:rPr>
              <w:t>омандир</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військової</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частини</w:t>
            </w:r>
            <w:proofErr w:type="spellEnd"/>
            <w:r w:rsidR="00CF38CF" w:rsidRPr="00D37AC7">
              <w:rPr>
                <w:color w:val="000000" w:themeColor="text1"/>
                <w:sz w:val="25"/>
                <w:szCs w:val="25"/>
                <w:lang w:val="ru-RU"/>
              </w:rPr>
              <w:t xml:space="preserve">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13593C00" w:rsidR="00CF38CF" w:rsidRPr="00D37AC7" w:rsidRDefault="00E04D86" w:rsidP="00E46418">
            <w:pPr>
              <w:pStyle w:val="a3"/>
              <w:spacing w:line="252" w:lineRule="auto"/>
              <w:jc w:val="left"/>
              <w:rPr>
                <w:bCs/>
                <w:color w:val="000000" w:themeColor="text1"/>
                <w:sz w:val="25"/>
                <w:szCs w:val="25"/>
                <w:highlight w:val="yellow"/>
                <w:lang w:val="ru-RU"/>
              </w:rPr>
            </w:pPr>
            <w:proofErr w:type="spellStart"/>
            <w:r w:rsidRPr="00D37AC7">
              <w:rPr>
                <w:bCs/>
                <w:color w:val="000000" w:themeColor="text1"/>
                <w:sz w:val="25"/>
                <w:szCs w:val="25"/>
                <w:lang w:val="ru-RU"/>
              </w:rPr>
              <w:t>Фізична</w:t>
            </w:r>
            <w:proofErr w:type="spellEnd"/>
            <w:r w:rsidRPr="00D37AC7">
              <w:rPr>
                <w:bCs/>
                <w:color w:val="000000" w:themeColor="text1"/>
                <w:sz w:val="25"/>
                <w:szCs w:val="25"/>
                <w:lang w:val="ru-RU"/>
              </w:rPr>
              <w:t xml:space="preserve"> особа </w:t>
            </w:r>
            <w:proofErr w:type="spellStart"/>
            <w:r w:rsidRPr="00D37AC7">
              <w:rPr>
                <w:bCs/>
                <w:color w:val="000000" w:themeColor="text1"/>
                <w:sz w:val="25"/>
                <w:szCs w:val="25"/>
                <w:lang w:val="ru-RU"/>
              </w:rPr>
              <w:t>підприємець</w:t>
            </w:r>
            <w:proofErr w:type="spellEnd"/>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0AD71CF5" w:rsidR="00CF38CF" w:rsidRPr="00D37AC7" w:rsidRDefault="00B92C45" w:rsidP="00FA10AA">
            <w:pPr>
              <w:pStyle w:val="a3"/>
              <w:spacing w:line="252" w:lineRule="auto"/>
              <w:rPr>
                <w:color w:val="000000" w:themeColor="text1"/>
                <w:sz w:val="25"/>
                <w:szCs w:val="25"/>
                <w:lang w:val="ru-RU"/>
              </w:rPr>
            </w:pPr>
            <w:proofErr w:type="spellStart"/>
            <w:r w:rsidRPr="00D37AC7">
              <w:rPr>
                <w:color w:val="000000" w:themeColor="text1"/>
                <w:sz w:val="25"/>
                <w:szCs w:val="25"/>
                <w:lang w:val="ru-RU"/>
              </w:rPr>
              <w:t>В</w:t>
            </w:r>
            <w:r w:rsidR="00D80811" w:rsidRPr="00D37AC7">
              <w:rPr>
                <w:color w:val="000000" w:themeColor="text1"/>
                <w:sz w:val="25"/>
                <w:szCs w:val="25"/>
                <w:lang w:val="ru-RU"/>
              </w:rPr>
              <w:t>олодимир</w:t>
            </w:r>
            <w:proofErr w:type="spellEnd"/>
            <w:r w:rsidR="00D80811" w:rsidRPr="00D37AC7">
              <w:rPr>
                <w:color w:val="000000" w:themeColor="text1"/>
                <w:sz w:val="25"/>
                <w:szCs w:val="25"/>
                <w:lang w:val="ru-RU"/>
              </w:rPr>
              <w:t xml:space="preserve"> </w:t>
            </w:r>
            <w:r w:rsidRPr="00D37AC7">
              <w:rPr>
                <w:color w:val="000000" w:themeColor="text1"/>
                <w:sz w:val="25"/>
                <w:szCs w:val="25"/>
                <w:lang w:val="ru-RU"/>
              </w:rPr>
              <w:t>РОДІКОВ</w:t>
            </w: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1F179344"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5C3CFA8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фізична особа підприємець</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612D8708" w:rsidR="00E77D02" w:rsidRPr="00D37AC7" w:rsidRDefault="00D34B36" w:rsidP="00465E5D">
            <w:pPr>
              <w:pStyle w:val="a3"/>
              <w:spacing w:line="252" w:lineRule="auto"/>
              <w:jc w:val="right"/>
              <w:rPr>
                <w:color w:val="000000" w:themeColor="text1"/>
                <w:sz w:val="25"/>
                <w:szCs w:val="25"/>
                <w:highlight w:val="yellow"/>
              </w:rPr>
            </w:pPr>
            <w:r>
              <w:rPr>
                <w:color w:val="000000" w:themeColor="text1"/>
                <w:sz w:val="25"/>
                <w:szCs w:val="25"/>
              </w:rPr>
              <w:t>__________________</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15D82DB4" w:rsidR="000554AD" w:rsidRPr="00D37AC7" w:rsidRDefault="000554AD"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6B4129"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20896522" w14:textId="77777777" w:rsidTr="00E021B2">
        <w:trPr>
          <w:trHeight w:val="446"/>
        </w:trPr>
        <w:tc>
          <w:tcPr>
            <w:tcW w:w="4892"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proofErr w:type="spellStart"/>
            <w:r w:rsidRPr="00D37AC7">
              <w:rPr>
                <w:color w:val="000000" w:themeColor="text1"/>
                <w:sz w:val="25"/>
                <w:szCs w:val="25"/>
                <w:lang w:val="ru-RU"/>
              </w:rPr>
              <w:t>омандир</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військової</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частини</w:t>
            </w:r>
            <w:proofErr w:type="spellEnd"/>
            <w:r w:rsidRPr="00D37AC7">
              <w:rPr>
                <w:color w:val="000000" w:themeColor="text1"/>
                <w:sz w:val="25"/>
                <w:szCs w:val="25"/>
                <w:lang w:val="ru-RU"/>
              </w:rPr>
              <w:t xml:space="preserve">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2E1CC39F" w14:textId="77777777" w:rsidR="00D80811" w:rsidRPr="00D37AC7" w:rsidRDefault="00D80811" w:rsidP="00E021B2">
            <w:pPr>
              <w:pStyle w:val="a3"/>
              <w:spacing w:line="252" w:lineRule="auto"/>
              <w:jc w:val="left"/>
              <w:rPr>
                <w:bCs/>
                <w:color w:val="000000" w:themeColor="text1"/>
                <w:sz w:val="25"/>
                <w:szCs w:val="25"/>
                <w:highlight w:val="yellow"/>
                <w:lang w:val="ru-RU"/>
              </w:rPr>
            </w:pPr>
            <w:proofErr w:type="spellStart"/>
            <w:r w:rsidRPr="00D37AC7">
              <w:rPr>
                <w:bCs/>
                <w:color w:val="000000" w:themeColor="text1"/>
                <w:sz w:val="25"/>
                <w:szCs w:val="25"/>
                <w:lang w:val="ru-RU"/>
              </w:rPr>
              <w:t>Фізична</w:t>
            </w:r>
            <w:proofErr w:type="spellEnd"/>
            <w:r w:rsidRPr="00D37AC7">
              <w:rPr>
                <w:bCs/>
                <w:color w:val="000000" w:themeColor="text1"/>
                <w:sz w:val="25"/>
                <w:szCs w:val="25"/>
                <w:lang w:val="ru-RU"/>
              </w:rPr>
              <w:t xml:space="preserve"> особа </w:t>
            </w:r>
            <w:proofErr w:type="spellStart"/>
            <w:r w:rsidRPr="00D37AC7">
              <w:rPr>
                <w:bCs/>
                <w:color w:val="000000" w:themeColor="text1"/>
                <w:sz w:val="25"/>
                <w:szCs w:val="25"/>
                <w:lang w:val="ru-RU"/>
              </w:rPr>
              <w:t>підприємець</w:t>
            </w:r>
            <w:proofErr w:type="spellEnd"/>
          </w:p>
        </w:tc>
      </w:tr>
      <w:tr w:rsidR="00D37AC7" w:rsidRPr="00D37AC7" w14:paraId="60445C62" w14:textId="77777777" w:rsidTr="00E021B2">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77777777" w:rsidR="00D80811" w:rsidRPr="00D37AC7" w:rsidRDefault="00D80811" w:rsidP="00E021B2">
            <w:pPr>
              <w:pStyle w:val="a3"/>
              <w:spacing w:line="252" w:lineRule="auto"/>
              <w:jc w:val="right"/>
              <w:rPr>
                <w:color w:val="000000" w:themeColor="text1"/>
                <w:sz w:val="25"/>
                <w:szCs w:val="25"/>
                <w:lang w:val="ru-RU"/>
              </w:rPr>
            </w:pPr>
            <w:proofErr w:type="spellStart"/>
            <w:r w:rsidRPr="00D37AC7">
              <w:rPr>
                <w:color w:val="000000" w:themeColor="text1"/>
                <w:sz w:val="25"/>
                <w:szCs w:val="25"/>
                <w:lang w:val="ru-RU"/>
              </w:rPr>
              <w:t>Володимир</w:t>
            </w:r>
            <w:proofErr w:type="spellEnd"/>
            <w:r w:rsidRPr="00D37AC7">
              <w:rPr>
                <w:color w:val="000000" w:themeColor="text1"/>
                <w:sz w:val="25"/>
                <w:szCs w:val="25"/>
                <w:lang w:val="ru-RU"/>
              </w:rPr>
              <w:t xml:space="preserve"> РОДІКОВ</w:t>
            </w:r>
          </w:p>
        </w:tc>
        <w:tc>
          <w:tcPr>
            <w:tcW w:w="401"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45583AB4" w14:textId="77777777" w:rsidR="00732ECE" w:rsidRPr="00D37AC7" w:rsidRDefault="00732ECE" w:rsidP="00E021B2">
            <w:pPr>
              <w:pStyle w:val="a3"/>
              <w:spacing w:line="252" w:lineRule="auto"/>
              <w:jc w:val="right"/>
              <w:rPr>
                <w:color w:val="000000" w:themeColor="text1"/>
                <w:sz w:val="25"/>
                <w:szCs w:val="25"/>
              </w:rPr>
            </w:pPr>
          </w:p>
          <w:p w14:paraId="3B5EAC78" w14:textId="77777777" w:rsidR="00732ECE" w:rsidRPr="00D37AC7" w:rsidRDefault="00732ECE" w:rsidP="00E021B2">
            <w:pPr>
              <w:pStyle w:val="a3"/>
              <w:spacing w:line="252" w:lineRule="auto"/>
              <w:jc w:val="right"/>
              <w:rPr>
                <w:color w:val="000000" w:themeColor="text1"/>
                <w:sz w:val="25"/>
                <w:szCs w:val="25"/>
              </w:rPr>
            </w:pPr>
          </w:p>
          <w:p w14:paraId="49E13894" w14:textId="256603F7" w:rsidR="00D80811" w:rsidRPr="00D37AC7" w:rsidRDefault="006B4129" w:rsidP="00E021B2">
            <w:pPr>
              <w:pStyle w:val="a3"/>
              <w:spacing w:line="252" w:lineRule="auto"/>
              <w:jc w:val="right"/>
              <w:rPr>
                <w:color w:val="000000" w:themeColor="text1"/>
                <w:sz w:val="25"/>
                <w:szCs w:val="25"/>
              </w:rPr>
            </w:pPr>
            <w:r w:rsidRPr="00D37AC7">
              <w:rPr>
                <w:color w:val="000000" w:themeColor="text1"/>
                <w:sz w:val="25"/>
                <w:szCs w:val="25"/>
              </w:rPr>
              <w:t>_____________________</w:t>
            </w:r>
          </w:p>
        </w:tc>
      </w:tr>
      <w:tr w:rsidR="00D37AC7" w:rsidRPr="00D37AC7" w14:paraId="233907BE" w14:textId="77777777" w:rsidTr="00E021B2">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4337" w14:textId="77777777" w:rsidR="00245C20" w:rsidRDefault="00245C20" w:rsidP="001B6EA5">
      <w:pPr>
        <w:spacing w:after="0" w:line="240" w:lineRule="auto"/>
      </w:pPr>
      <w:r>
        <w:separator/>
      </w:r>
    </w:p>
  </w:endnote>
  <w:endnote w:type="continuationSeparator" w:id="0">
    <w:p w14:paraId="400AC06C" w14:textId="77777777" w:rsidR="00245C20" w:rsidRDefault="00245C20"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59134"/>
      <w:docPartObj>
        <w:docPartGallery w:val="Page Numbers (Bottom of Page)"/>
        <w:docPartUnique/>
      </w:docPartObj>
    </w:sdtPr>
    <w:sdtEndPr/>
    <w:sdtContent>
      <w:p w14:paraId="5FE94477" w14:textId="5C7753E4" w:rsidR="00E46418" w:rsidRDefault="009F240D">
        <w:pPr>
          <w:pStyle w:val="ac"/>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B23CD" w14:textId="77777777" w:rsidR="00245C20" w:rsidRDefault="00245C20" w:rsidP="001B6EA5">
      <w:pPr>
        <w:spacing w:after="0" w:line="240" w:lineRule="auto"/>
      </w:pPr>
      <w:r>
        <w:separator/>
      </w:r>
    </w:p>
  </w:footnote>
  <w:footnote w:type="continuationSeparator" w:id="0">
    <w:p w14:paraId="2A6356C9" w14:textId="77777777" w:rsidR="00245C20" w:rsidRDefault="00245C20"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A6F"/>
    <w:rsid w:val="00000D23"/>
    <w:rsid w:val="0000141D"/>
    <w:rsid w:val="00014B5C"/>
    <w:rsid w:val="00016D8A"/>
    <w:rsid w:val="00022761"/>
    <w:rsid w:val="00022883"/>
    <w:rsid w:val="00026104"/>
    <w:rsid w:val="00026A02"/>
    <w:rsid w:val="000277A0"/>
    <w:rsid w:val="000307FC"/>
    <w:rsid w:val="00034F96"/>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45C20"/>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2D82"/>
    <w:rsid w:val="00393822"/>
    <w:rsid w:val="00393F76"/>
    <w:rsid w:val="00395AF8"/>
    <w:rsid w:val="003A17CA"/>
    <w:rsid w:val="003A5F3B"/>
    <w:rsid w:val="003B1AAF"/>
    <w:rsid w:val="003F7344"/>
    <w:rsid w:val="0040422B"/>
    <w:rsid w:val="0040792F"/>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48E7"/>
    <w:rsid w:val="004F76C2"/>
    <w:rsid w:val="004F774C"/>
    <w:rsid w:val="004F77FE"/>
    <w:rsid w:val="00506762"/>
    <w:rsid w:val="00514E0E"/>
    <w:rsid w:val="00515283"/>
    <w:rsid w:val="0051670A"/>
    <w:rsid w:val="00522ECC"/>
    <w:rsid w:val="00525051"/>
    <w:rsid w:val="00544149"/>
    <w:rsid w:val="00550D4F"/>
    <w:rsid w:val="00552098"/>
    <w:rsid w:val="00553C97"/>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6B2B"/>
    <w:rsid w:val="006E7BEB"/>
    <w:rsid w:val="006F4123"/>
    <w:rsid w:val="006F76F2"/>
    <w:rsid w:val="006F794F"/>
    <w:rsid w:val="00703723"/>
    <w:rsid w:val="007038AE"/>
    <w:rsid w:val="00703AA0"/>
    <w:rsid w:val="007122DA"/>
    <w:rsid w:val="007139D5"/>
    <w:rsid w:val="007164F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784C"/>
    <w:rsid w:val="007F7A51"/>
    <w:rsid w:val="008012DF"/>
    <w:rsid w:val="0081472D"/>
    <w:rsid w:val="0081507A"/>
    <w:rsid w:val="00815E03"/>
    <w:rsid w:val="00821C91"/>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25FA"/>
    <w:rsid w:val="00A276F2"/>
    <w:rsid w:val="00A372E1"/>
    <w:rsid w:val="00A45A47"/>
    <w:rsid w:val="00A500E7"/>
    <w:rsid w:val="00A51FAC"/>
    <w:rsid w:val="00A55ECF"/>
    <w:rsid w:val="00A6320D"/>
    <w:rsid w:val="00A73ACC"/>
    <w:rsid w:val="00A80947"/>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04C12"/>
    <w:rsid w:val="00B118B5"/>
    <w:rsid w:val="00B141F2"/>
    <w:rsid w:val="00B3107E"/>
    <w:rsid w:val="00B46ACC"/>
    <w:rsid w:val="00B537A5"/>
    <w:rsid w:val="00B54B86"/>
    <w:rsid w:val="00B62D36"/>
    <w:rsid w:val="00B63FD0"/>
    <w:rsid w:val="00B7342C"/>
    <w:rsid w:val="00B73E0A"/>
    <w:rsid w:val="00B7625F"/>
    <w:rsid w:val="00B76869"/>
    <w:rsid w:val="00B92C45"/>
    <w:rsid w:val="00B93E69"/>
    <w:rsid w:val="00BA0911"/>
    <w:rsid w:val="00BA1B45"/>
    <w:rsid w:val="00BA70AD"/>
    <w:rsid w:val="00BB34A3"/>
    <w:rsid w:val="00BB5233"/>
    <w:rsid w:val="00BB6FF8"/>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D0275A"/>
    <w:rsid w:val="00D050B7"/>
    <w:rsid w:val="00D0521E"/>
    <w:rsid w:val="00D06A69"/>
    <w:rsid w:val="00D10189"/>
    <w:rsid w:val="00D14188"/>
    <w:rsid w:val="00D163AD"/>
    <w:rsid w:val="00D34B36"/>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73C"/>
    <w:rsid w:val="00EF6BBC"/>
    <w:rsid w:val="00F030E8"/>
    <w:rsid w:val="00F07CC4"/>
    <w:rsid w:val="00F16B4A"/>
    <w:rsid w:val="00F229A4"/>
    <w:rsid w:val="00F323BE"/>
    <w:rsid w:val="00F465B5"/>
    <w:rsid w:val="00F51C03"/>
    <w:rsid w:val="00F6698C"/>
    <w:rsid w:val="00F71731"/>
    <w:rsid w:val="00F76A07"/>
    <w:rsid w:val="00F8254E"/>
    <w:rsid w:val="00F870D3"/>
    <w:rsid w:val="00FA10AA"/>
    <w:rsid w:val="00FA5B03"/>
    <w:rsid w:val="00FB040C"/>
    <w:rsid w:val="00FB48E7"/>
    <w:rsid w:val="00FC24C2"/>
    <w:rsid w:val="00FC3553"/>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7061-1A96-4B5F-A602-7AA11562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10</Pages>
  <Words>14021</Words>
  <Characters>7992</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Романюк</cp:lastModifiedBy>
  <cp:revision>377</cp:revision>
  <cp:lastPrinted>2023-01-30T07:01:00Z</cp:lastPrinted>
  <dcterms:created xsi:type="dcterms:W3CDTF">2019-03-04T11:29:00Z</dcterms:created>
  <dcterms:modified xsi:type="dcterms:W3CDTF">2024-03-27T09:49:00Z</dcterms:modified>
</cp:coreProperties>
</file>