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8E" w:rsidRDefault="0037538E">
      <w:pPr>
        <w:spacing w:after="240" w:line="240" w:lineRule="auto"/>
        <w:rPr>
          <w:rFonts w:ascii="Times New Roman" w:eastAsia="Times New Roman" w:hAnsi="Times New Roman" w:cs="Times New Roman"/>
          <w:sz w:val="24"/>
          <w:szCs w:val="24"/>
        </w:rPr>
      </w:pPr>
    </w:p>
    <w:p w:rsidR="0037538E" w:rsidRDefault="00686EA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37538E" w:rsidRDefault="00686EA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37538E" w:rsidRDefault="00686EAF">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37538E" w:rsidRDefault="00686EAF">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7538E" w:rsidRDefault="0037538E">
      <w:pPr>
        <w:pBdr>
          <w:top w:val="nil"/>
          <w:left w:val="nil"/>
          <w:bottom w:val="nil"/>
          <w:right w:val="nil"/>
          <w:between w:val="nil"/>
        </w:pBdr>
        <w:spacing w:after="0" w:line="240" w:lineRule="auto"/>
        <w:ind w:left="885"/>
        <w:jc w:val="center"/>
        <w:rPr>
          <w:rFonts w:ascii="Times New Roman" w:eastAsia="Times New Roman" w:hAnsi="Times New Roman" w:cs="Times New Roman"/>
          <w:b/>
          <w:i/>
          <w:color w:val="C00000"/>
          <w:sz w:val="28"/>
          <w:szCs w:val="28"/>
        </w:rPr>
      </w:pPr>
    </w:p>
    <w:tbl>
      <w:tblPr>
        <w:tblStyle w:val="af2"/>
        <w:tblW w:w="9855" w:type="dxa"/>
        <w:jc w:val="center"/>
        <w:tblInd w:w="0" w:type="dxa"/>
        <w:tblLayout w:type="fixed"/>
        <w:tblLook w:val="0400" w:firstRow="0" w:lastRow="0" w:firstColumn="0" w:lastColumn="0" w:noHBand="0" w:noVBand="1"/>
      </w:tblPr>
      <w:tblGrid>
        <w:gridCol w:w="525"/>
        <w:gridCol w:w="2280"/>
        <w:gridCol w:w="7050"/>
      </w:tblGrid>
      <w:tr w:rsidR="0037538E">
        <w:trPr>
          <w:trHeight w:val="690"/>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38E" w:rsidRDefault="00686EA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38E" w:rsidRDefault="00686EA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38E" w:rsidRDefault="00686EA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Документи та </w:t>
            </w:r>
            <w:r>
              <w:rPr>
                <w:rFonts w:ascii="Times New Roman" w:eastAsia="Times New Roman" w:hAnsi="Times New Roman" w:cs="Times New Roman"/>
                <w:b/>
                <w:color w:val="FF0000"/>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37538E">
        <w:trPr>
          <w:trHeight w:val="285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37538E" w:rsidRDefault="00686EAF">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Pr>
                <w:rFonts w:ascii="Times New Roman" w:eastAsia="Times New Roman" w:hAnsi="Times New Roman" w:cs="Times New Roman"/>
                <w:i/>
                <w:color w:val="00B050"/>
                <w:sz w:val="24"/>
                <w:szCs w:val="24"/>
              </w:rPr>
              <w:t>спроможності*</w:t>
            </w:r>
            <w:r>
              <w:rPr>
                <w:rFonts w:ascii="Times New Roman" w:eastAsia="Times New Roman" w:hAnsi="Times New Roman" w:cs="Times New Roman"/>
                <w:i/>
                <w:color w:val="000000"/>
                <w:sz w:val="24"/>
                <w:szCs w:val="24"/>
              </w:rPr>
              <w:t xml:space="preserve"> інших суб’єктів господарювання як субпідрядників/ співвиконавців</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Довідка в довільній формі про наявність транспорту для доставки товару.</w:t>
            </w:r>
          </w:p>
          <w:p w:rsidR="0037538E" w:rsidRDefault="00686EAF" w:rsidP="00686E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підтвердження інформації стосовно наявності транспорту, учасник має надати договір найму (оренди) транспортного засобу за участі фізичної особи у разі їх надання учасником, мають бути засвідчені нотаріально. </w:t>
            </w:r>
          </w:p>
        </w:tc>
      </w:tr>
      <w:tr w:rsidR="0037538E">
        <w:trPr>
          <w:trHeight w:val="225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37538E" w:rsidRDefault="00686EAF">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w:t>
            </w:r>
            <w:r>
              <w:rPr>
                <w:rFonts w:ascii="Times New Roman" w:eastAsia="Times New Roman" w:hAnsi="Times New Roman" w:cs="Times New Roman"/>
                <w:i/>
                <w:color w:val="000000"/>
                <w:sz w:val="24"/>
                <w:szCs w:val="24"/>
              </w:rPr>
              <w:lastRenderedPageBreak/>
              <w:t xml:space="preserve">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Pr>
                <w:rFonts w:ascii="Times New Roman" w:eastAsia="Times New Roman" w:hAnsi="Times New Roman" w:cs="Times New Roman"/>
                <w:i/>
                <w:color w:val="00B050"/>
                <w:sz w:val="24"/>
                <w:szCs w:val="24"/>
              </w:rPr>
              <w:t>спроможності*</w:t>
            </w:r>
            <w:r>
              <w:rPr>
                <w:rFonts w:ascii="Times New Roman" w:eastAsia="Times New Roman" w:hAnsi="Times New Roman" w:cs="Times New Roman"/>
                <w:i/>
                <w:color w:val="000000"/>
                <w:sz w:val="24"/>
                <w:szCs w:val="24"/>
              </w:rPr>
              <w:t xml:space="preserve"> інших суб’єктів господарювання як субпідрядників/ співвиконавців</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Довідка про наявність працівників відповідної кваліфікації, які мають необхідні знання та досвід за формою Таблиці 1.</w:t>
            </w:r>
          </w:p>
          <w:p w:rsidR="0037538E" w:rsidRDefault="00686E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Таблиця 1  </w:t>
            </w:r>
          </w:p>
          <w:tbl>
            <w:tblPr>
              <w:tblStyle w:val="af3"/>
              <w:tblW w:w="7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322"/>
              <w:gridCol w:w="1051"/>
              <w:gridCol w:w="2647"/>
              <w:gridCol w:w="1466"/>
            </w:tblGrid>
            <w:tr w:rsidR="0037538E">
              <w:tc>
                <w:tcPr>
                  <w:tcW w:w="7015" w:type="dxa"/>
                  <w:gridSpan w:val="5"/>
                </w:tcPr>
                <w:p w:rsidR="0037538E" w:rsidRDefault="00686E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37538E">
              <w:tc>
                <w:tcPr>
                  <w:tcW w:w="529" w:type="dxa"/>
                </w:tcPr>
                <w:p w:rsidR="0037538E" w:rsidRDefault="00686EA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322" w:type="dxa"/>
                </w:tcPr>
                <w:p w:rsidR="0037538E" w:rsidRDefault="00686EAF">
                  <w:pPr>
                    <w:rPr>
                      <w:rFonts w:ascii="Times New Roman" w:eastAsia="Times New Roman" w:hAnsi="Times New Roman" w:cs="Times New Roman"/>
                      <w:sz w:val="20"/>
                      <w:szCs w:val="20"/>
                    </w:rPr>
                  </w:pPr>
                  <w:r>
                    <w:rPr>
                      <w:rFonts w:ascii="Times New Roman" w:eastAsia="Times New Roman" w:hAnsi="Times New Roman" w:cs="Times New Roman"/>
                      <w:sz w:val="20"/>
                      <w:szCs w:val="20"/>
                    </w:rPr>
                    <w:t>Кваліфікація/</w:t>
                  </w:r>
                </w:p>
                <w:p w:rsidR="0037538E" w:rsidRDefault="00686EAF">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посада</w:t>
                  </w:r>
                </w:p>
              </w:tc>
              <w:tc>
                <w:tcPr>
                  <w:tcW w:w="1051" w:type="dxa"/>
                </w:tcPr>
                <w:p w:rsidR="0037538E" w:rsidRDefault="00686EA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647" w:type="dxa"/>
                </w:tcPr>
                <w:p w:rsidR="0037538E" w:rsidRDefault="00686EAF">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Працівник учасника/</w:t>
                  </w:r>
                  <w:r>
                    <w:rPr>
                      <w:rFonts w:ascii="Times New Roman" w:eastAsia="Times New Roman" w:hAnsi="Times New Roman" w:cs="Times New Roman"/>
                      <w:color w:val="FF0000"/>
                      <w:sz w:val="20"/>
                      <w:szCs w:val="20"/>
                    </w:rPr>
                    <w:t>***працівник субпідрядника/співвиконавця</w:t>
                  </w:r>
                </w:p>
              </w:tc>
              <w:tc>
                <w:tcPr>
                  <w:tcW w:w="1466" w:type="dxa"/>
                </w:tcPr>
                <w:p w:rsidR="0037538E" w:rsidRDefault="00686E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***Назва </w:t>
                  </w:r>
                  <w:r>
                    <w:rPr>
                      <w:rFonts w:ascii="Times New Roman" w:eastAsia="Times New Roman" w:hAnsi="Times New Roman" w:cs="Times New Roman"/>
                      <w:color w:val="FF0000"/>
                      <w:sz w:val="20"/>
                      <w:szCs w:val="20"/>
                    </w:rPr>
                    <w:t>субпідрядника/ співвиконавця</w:t>
                  </w:r>
                </w:p>
              </w:tc>
            </w:tr>
            <w:tr w:rsidR="0037538E">
              <w:tc>
                <w:tcPr>
                  <w:tcW w:w="529" w:type="dxa"/>
                </w:tcPr>
                <w:p w:rsidR="0037538E" w:rsidRDefault="0037538E">
                  <w:pPr>
                    <w:rPr>
                      <w:rFonts w:ascii="Times New Roman" w:eastAsia="Times New Roman" w:hAnsi="Times New Roman" w:cs="Times New Roman"/>
                      <w:sz w:val="20"/>
                      <w:szCs w:val="20"/>
                    </w:rPr>
                  </w:pPr>
                </w:p>
              </w:tc>
              <w:tc>
                <w:tcPr>
                  <w:tcW w:w="1322" w:type="dxa"/>
                </w:tcPr>
                <w:p w:rsidR="0037538E" w:rsidRDefault="0037538E">
                  <w:pPr>
                    <w:rPr>
                      <w:rFonts w:ascii="Times New Roman" w:eastAsia="Times New Roman" w:hAnsi="Times New Roman" w:cs="Times New Roman"/>
                      <w:sz w:val="20"/>
                      <w:szCs w:val="20"/>
                    </w:rPr>
                  </w:pPr>
                </w:p>
              </w:tc>
              <w:tc>
                <w:tcPr>
                  <w:tcW w:w="1051" w:type="dxa"/>
                </w:tcPr>
                <w:p w:rsidR="0037538E" w:rsidRDefault="0037538E">
                  <w:pPr>
                    <w:rPr>
                      <w:rFonts w:ascii="Times New Roman" w:eastAsia="Times New Roman" w:hAnsi="Times New Roman" w:cs="Times New Roman"/>
                      <w:sz w:val="20"/>
                      <w:szCs w:val="20"/>
                    </w:rPr>
                  </w:pPr>
                </w:p>
              </w:tc>
              <w:tc>
                <w:tcPr>
                  <w:tcW w:w="2647" w:type="dxa"/>
                </w:tcPr>
                <w:p w:rsidR="0037538E" w:rsidRDefault="0037538E">
                  <w:pPr>
                    <w:rPr>
                      <w:rFonts w:ascii="Times New Roman" w:eastAsia="Times New Roman" w:hAnsi="Times New Roman" w:cs="Times New Roman"/>
                      <w:sz w:val="20"/>
                      <w:szCs w:val="20"/>
                    </w:rPr>
                  </w:pPr>
                </w:p>
              </w:tc>
              <w:tc>
                <w:tcPr>
                  <w:tcW w:w="1466" w:type="dxa"/>
                </w:tcPr>
                <w:p w:rsidR="0037538E" w:rsidRDefault="0037538E">
                  <w:pPr>
                    <w:rPr>
                      <w:rFonts w:ascii="Times New Roman" w:eastAsia="Times New Roman" w:hAnsi="Times New Roman" w:cs="Times New Roman"/>
                      <w:sz w:val="20"/>
                      <w:szCs w:val="20"/>
                    </w:rPr>
                  </w:pPr>
                </w:p>
              </w:tc>
            </w:tr>
          </w:tbl>
          <w:p w:rsidR="0037538E" w:rsidRDefault="00686EA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lastRenderedPageBreak/>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w:t>
            </w:r>
            <w:r>
              <w:rPr>
                <w:rFonts w:ascii="Times New Roman" w:eastAsia="Times New Roman" w:hAnsi="Times New Roman" w:cs="Times New Roman"/>
                <w:i/>
                <w:color w:val="00B050"/>
                <w:sz w:val="24"/>
                <w:szCs w:val="24"/>
              </w:rPr>
              <w:t>спроможності*</w:t>
            </w:r>
            <w:r>
              <w:rPr>
                <w:rFonts w:ascii="Times New Roman" w:eastAsia="Times New Roman" w:hAnsi="Times New Roman" w:cs="Times New Roman"/>
                <w:i/>
                <w:color w:val="FF0000"/>
                <w:sz w:val="24"/>
                <w:szCs w:val="24"/>
              </w:rPr>
              <w:t xml:space="preserve"> субпідрядника/співвиконавця.</w:t>
            </w:r>
          </w:p>
          <w:p w:rsidR="0037538E" w:rsidRDefault="0037538E">
            <w:pPr>
              <w:spacing w:after="0" w:line="240" w:lineRule="auto"/>
              <w:jc w:val="both"/>
              <w:rPr>
                <w:rFonts w:ascii="Times New Roman" w:eastAsia="Times New Roman" w:hAnsi="Times New Roman" w:cs="Times New Roman"/>
                <w:sz w:val="24"/>
                <w:szCs w:val="24"/>
              </w:rPr>
            </w:pPr>
          </w:p>
          <w:p w:rsidR="0037538E" w:rsidRDefault="0037538E">
            <w:pPr>
              <w:spacing w:after="0" w:line="240" w:lineRule="auto"/>
              <w:jc w:val="both"/>
              <w:rPr>
                <w:rFonts w:ascii="Times New Roman" w:eastAsia="Times New Roman" w:hAnsi="Times New Roman" w:cs="Times New Roman"/>
                <w:color w:val="000000"/>
                <w:sz w:val="24"/>
                <w:szCs w:val="24"/>
              </w:rPr>
            </w:pPr>
          </w:p>
        </w:tc>
      </w:tr>
      <w:tr w:rsidR="0037538E">
        <w:trPr>
          <w:trHeight w:val="225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Pr="001D4C26" w:rsidRDefault="00686EAF">
            <w:pPr>
              <w:spacing w:after="0" w:line="240" w:lineRule="auto"/>
              <w:jc w:val="both"/>
              <w:rPr>
                <w:rFonts w:ascii="Times New Roman" w:eastAsia="Times New Roman" w:hAnsi="Times New Roman" w:cs="Times New Roman"/>
                <w:color w:val="000000"/>
                <w:sz w:val="24"/>
                <w:szCs w:val="24"/>
              </w:rPr>
            </w:pPr>
            <w:r w:rsidRPr="001D4C26">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E7420C" w:rsidRPr="001D4C26" w:rsidRDefault="00686EAF" w:rsidP="00E7420C">
            <w:pPr>
              <w:spacing w:after="0" w:line="240" w:lineRule="auto"/>
              <w:jc w:val="both"/>
              <w:rPr>
                <w:rFonts w:ascii="Times New Roman" w:eastAsia="Times New Roman" w:hAnsi="Times New Roman" w:cs="Times New Roman"/>
                <w:color w:val="000000"/>
                <w:sz w:val="24"/>
                <w:szCs w:val="24"/>
              </w:rPr>
            </w:pPr>
            <w:r w:rsidRPr="001D4C26">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E7420C" w:rsidRPr="001D4C26">
              <w:rPr>
                <w:rFonts w:ascii="Times New Roman" w:eastAsia="Times New Roman" w:hAnsi="Times New Roman" w:cs="Times New Roman"/>
                <w:color w:val="000000"/>
                <w:sz w:val="24"/>
                <w:szCs w:val="24"/>
              </w:rPr>
              <w:t xml:space="preserve"> </w:t>
            </w:r>
            <w:r w:rsidR="00E7420C" w:rsidRPr="001D4C26">
              <w:rPr>
                <w:rFonts w:ascii="Arial" w:hAnsi="Arial" w:cs="Arial"/>
                <w:color w:val="4D5156"/>
                <w:sz w:val="21"/>
                <w:szCs w:val="21"/>
                <w:shd w:val="clear" w:color="auto" w:fill="FFFFFF"/>
              </w:rPr>
              <w:t>Нафта і дистиляти (поставки, палива або дизелю)</w:t>
            </w:r>
          </w:p>
          <w:p w:rsidR="0037538E" w:rsidRPr="001D4C26" w:rsidRDefault="00686EAF">
            <w:pPr>
              <w:spacing w:after="0" w:line="240" w:lineRule="auto"/>
              <w:jc w:val="both"/>
              <w:rPr>
                <w:rFonts w:ascii="Times New Roman" w:eastAsia="Times New Roman" w:hAnsi="Times New Roman" w:cs="Times New Roman"/>
                <w:color w:val="000000"/>
                <w:sz w:val="24"/>
                <w:szCs w:val="24"/>
              </w:rPr>
            </w:pPr>
            <w:r w:rsidRPr="001D4C26">
              <w:rPr>
                <w:rFonts w:ascii="Times New Roman" w:eastAsia="Times New Roman" w:hAnsi="Times New Roman" w:cs="Times New Roman"/>
                <w:color w:val="000000"/>
                <w:sz w:val="24"/>
                <w:szCs w:val="24"/>
              </w:rPr>
              <w:t>3.1.2. не менше 1 копії договору, зазначеного у довідці у повному обсязі,</w:t>
            </w:r>
          </w:p>
          <w:p w:rsidR="0037538E" w:rsidRPr="001D4C26" w:rsidRDefault="00686EAF">
            <w:pPr>
              <w:spacing w:after="0" w:line="240" w:lineRule="auto"/>
              <w:jc w:val="both"/>
              <w:rPr>
                <w:rFonts w:ascii="Times New Roman" w:eastAsia="Times New Roman" w:hAnsi="Times New Roman" w:cs="Times New Roman"/>
                <w:color w:val="000000"/>
                <w:sz w:val="24"/>
                <w:szCs w:val="24"/>
              </w:rPr>
            </w:pPr>
            <w:r w:rsidRPr="001D4C26">
              <w:rPr>
                <w:rFonts w:ascii="Times New Roman" w:eastAsia="Times New Roman" w:hAnsi="Times New Roman" w:cs="Times New Roman"/>
                <w:color w:val="000000"/>
                <w:sz w:val="24"/>
                <w:szCs w:val="24"/>
              </w:rPr>
              <w:t xml:space="preserve">3.1.3. копії/ю документів/у на підтвердження виконання не менше ніж одного договору зазначеного в наданій Учасником довідці. </w:t>
            </w:r>
          </w:p>
          <w:p w:rsidR="0037538E" w:rsidRPr="001D4C26" w:rsidRDefault="0037538E">
            <w:pPr>
              <w:spacing w:after="0" w:line="240" w:lineRule="auto"/>
              <w:jc w:val="both"/>
              <w:rPr>
                <w:rFonts w:ascii="Times New Roman" w:eastAsia="Times New Roman" w:hAnsi="Times New Roman" w:cs="Times New Roman"/>
                <w:color w:val="000000"/>
                <w:sz w:val="24"/>
                <w:szCs w:val="24"/>
              </w:rPr>
            </w:pPr>
          </w:p>
          <w:p w:rsidR="0037538E" w:rsidRPr="001D4C26" w:rsidRDefault="00686EAF">
            <w:pPr>
              <w:spacing w:after="0" w:line="240" w:lineRule="auto"/>
              <w:jc w:val="both"/>
              <w:rPr>
                <w:rFonts w:ascii="Times New Roman" w:eastAsia="Times New Roman" w:hAnsi="Times New Roman" w:cs="Times New Roman"/>
                <w:color w:val="000000"/>
                <w:sz w:val="24"/>
                <w:szCs w:val="24"/>
              </w:rPr>
            </w:pPr>
            <w:r w:rsidRPr="001D4C26">
              <w:rPr>
                <w:rFonts w:ascii="Times New Roman" w:eastAsia="Times New Roman" w:hAnsi="Times New Roman" w:cs="Times New Roman"/>
                <w:i/>
                <w:color w:val="FF0000"/>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7538E" w:rsidRPr="001D4C26" w:rsidRDefault="00686EAF">
            <w:pPr>
              <w:spacing w:after="0" w:line="240" w:lineRule="auto"/>
              <w:jc w:val="both"/>
              <w:rPr>
                <w:rFonts w:ascii="Times New Roman" w:eastAsia="Times New Roman" w:hAnsi="Times New Roman" w:cs="Times New Roman"/>
                <w:color w:val="000000"/>
                <w:sz w:val="24"/>
                <w:szCs w:val="24"/>
              </w:rPr>
            </w:pPr>
            <w:r w:rsidRPr="001D4C26">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r w:rsidR="0037538E">
        <w:trPr>
          <w:trHeight w:val="81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rsidR="0037538E" w:rsidRDefault="00686EAF">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color w:val="000000"/>
                <w:sz w:val="24"/>
                <w:szCs w:val="24"/>
              </w:rPr>
              <w:t>пропорційно</w:t>
            </w:r>
            <w:proofErr w:type="spellEnd"/>
            <w:r>
              <w:rPr>
                <w:rFonts w:ascii="Times New Roman" w:eastAsia="Times New Roman" w:hAnsi="Times New Roman" w:cs="Times New Roman"/>
                <w:i/>
                <w:color w:val="000000"/>
                <w:sz w:val="24"/>
                <w:szCs w:val="24"/>
              </w:rPr>
              <w:t xml:space="preserve"> очікуваній вартості </w:t>
            </w:r>
            <w:r>
              <w:rPr>
                <w:rFonts w:ascii="Times New Roman" w:eastAsia="Times New Roman" w:hAnsi="Times New Roman" w:cs="Times New Roman"/>
                <w:i/>
                <w:color w:val="000000"/>
                <w:sz w:val="24"/>
                <w:szCs w:val="24"/>
              </w:rPr>
              <w:lastRenderedPageBreak/>
              <w:t xml:space="preserve">частини предмета закупівлі (лота) в разі поділу предмета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на частини).</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Pr="001D4C26" w:rsidRDefault="00686EAF">
            <w:pPr>
              <w:spacing w:after="0" w:line="240" w:lineRule="auto"/>
              <w:jc w:val="both"/>
              <w:rPr>
                <w:rFonts w:ascii="Times New Roman" w:eastAsia="Times New Roman" w:hAnsi="Times New Roman" w:cs="Times New Roman"/>
                <w:i/>
                <w:color w:val="000000"/>
                <w:sz w:val="24"/>
                <w:szCs w:val="24"/>
              </w:rPr>
            </w:pPr>
            <w:r w:rsidRPr="001D4C26">
              <w:rPr>
                <w:rFonts w:ascii="Times New Roman" w:eastAsia="Times New Roman" w:hAnsi="Times New Roman" w:cs="Times New Roman"/>
                <w:sz w:val="24"/>
                <w:szCs w:val="24"/>
              </w:rPr>
              <w:lastRenderedPageBreak/>
              <w:t xml:space="preserve">4.1. </w:t>
            </w:r>
            <w:r w:rsidR="00E7420C" w:rsidRPr="001D4C26">
              <w:rPr>
                <w:rFonts w:ascii="Times New Roman" w:eastAsia="Times New Roman" w:hAnsi="Times New Roman" w:cs="Times New Roman"/>
                <w:sz w:val="24"/>
                <w:szCs w:val="24"/>
              </w:rPr>
              <w:t>Надати довідку в довільній формі</w:t>
            </w:r>
          </w:p>
          <w:p w:rsidR="0037538E" w:rsidRPr="001D4C26" w:rsidRDefault="0037538E">
            <w:pPr>
              <w:spacing w:after="0" w:line="240" w:lineRule="auto"/>
              <w:jc w:val="both"/>
              <w:rPr>
                <w:rFonts w:ascii="Times New Roman" w:eastAsia="Times New Roman" w:hAnsi="Times New Roman" w:cs="Times New Roman"/>
                <w:i/>
                <w:color w:val="000000"/>
                <w:sz w:val="24"/>
                <w:szCs w:val="24"/>
              </w:rPr>
            </w:pPr>
            <w:bookmarkStart w:id="0" w:name="_GoBack"/>
            <w:bookmarkEnd w:id="0"/>
          </w:p>
        </w:tc>
      </w:tr>
    </w:tbl>
    <w:p w:rsidR="0037538E" w:rsidRDefault="00686EAF">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538E" w:rsidRDefault="00686EAF">
      <w:pPr>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w:t>
      </w:r>
    </w:p>
    <w:p w:rsidR="0037538E" w:rsidRDefault="0037538E">
      <w:pPr>
        <w:pBdr>
          <w:top w:val="nil"/>
          <w:left w:val="nil"/>
          <w:bottom w:val="nil"/>
          <w:right w:val="nil"/>
          <w:between w:val="nil"/>
        </w:pBdr>
        <w:spacing w:after="0" w:line="240" w:lineRule="auto"/>
        <w:ind w:left="420"/>
        <w:rPr>
          <w:rFonts w:ascii="Times New Roman" w:eastAsia="Times New Roman" w:hAnsi="Times New Roman" w:cs="Times New Roman"/>
          <w:color w:val="000000"/>
          <w:sz w:val="20"/>
          <w:szCs w:val="20"/>
        </w:rPr>
      </w:pPr>
      <w:bookmarkStart w:id="2" w:name="_heading=h.30j0zll" w:colFirst="0" w:colLast="0"/>
      <w:bookmarkEnd w:id="2"/>
    </w:p>
    <w:p w:rsidR="0037538E" w:rsidRDefault="00686EAF">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в електронній системі </w:t>
      </w:r>
      <w:proofErr w:type="spellStart"/>
      <w:r>
        <w:rPr>
          <w:rFonts w:ascii="Times New Roman" w:eastAsia="Times New Roman" w:hAnsi="Times New Roman" w:cs="Times New Roman"/>
          <w:sz w:val="24"/>
          <w:szCs w:val="24"/>
          <w:u w:val="single"/>
        </w:rPr>
        <w:t>закупівель</w:t>
      </w:r>
      <w:proofErr w:type="spellEnd"/>
      <w:r>
        <w:rPr>
          <w:rFonts w:ascii="Times New Roman" w:eastAsia="Times New Roman" w:hAnsi="Times New Roman" w:cs="Times New Roman"/>
          <w:sz w:val="24"/>
          <w:szCs w:val="24"/>
          <w:u w:val="single"/>
        </w:rPr>
        <w:t xml:space="preserve"> під час подання тендерної пропозиції </w:t>
      </w:r>
      <w:r>
        <w:rPr>
          <w:rFonts w:ascii="Times New Roman" w:eastAsia="Times New Roman" w:hAnsi="Times New Roman" w:cs="Times New Roman"/>
          <w:b/>
          <w:sz w:val="24"/>
          <w:szCs w:val="24"/>
          <w:u w:val="single"/>
        </w:rPr>
        <w:t xml:space="preserve">підтверджує відсутність підстав, передбачених пунктами 2, 3, 5, 6, 8, 9, </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b/>
          <w:sz w:val="24"/>
          <w:szCs w:val="24"/>
          <w:u w:val="single"/>
        </w:rPr>
        <w:t xml:space="preserve">12 і 13 частини першої статті 17 Закону шляхом заповнення відповідних електронних полів, визначених адміністратором </w:t>
      </w:r>
      <w:r>
        <w:rPr>
          <w:rFonts w:ascii="Times New Roman" w:eastAsia="Times New Roman" w:hAnsi="Times New Roman" w:cs="Times New Roman"/>
          <w:b/>
          <w:color w:val="333333"/>
          <w:sz w:val="24"/>
          <w:szCs w:val="24"/>
          <w:highlight w:val="white"/>
          <w:u w:val="single"/>
        </w:rPr>
        <w:t xml:space="preserve">електронної системи </w:t>
      </w:r>
      <w:proofErr w:type="spellStart"/>
      <w:r>
        <w:rPr>
          <w:rFonts w:ascii="Times New Roman" w:eastAsia="Times New Roman" w:hAnsi="Times New Roman" w:cs="Times New Roman"/>
          <w:b/>
          <w:color w:val="333333"/>
          <w:sz w:val="24"/>
          <w:szCs w:val="24"/>
          <w:highlight w:val="white"/>
          <w:u w:val="single"/>
        </w:rPr>
        <w:t>закупівель</w:t>
      </w:r>
      <w:proofErr w:type="spellEnd"/>
      <w:r>
        <w:rPr>
          <w:rFonts w:ascii="Times New Roman" w:eastAsia="Times New Roman" w:hAnsi="Times New Roman" w:cs="Times New Roman"/>
          <w:b/>
          <w:sz w:val="24"/>
          <w:szCs w:val="24"/>
          <w:u w:val="single"/>
        </w:rPr>
        <w:t xml:space="preserve"> і реалізованих в електронній системі </w:t>
      </w:r>
      <w:proofErr w:type="spellStart"/>
      <w:r>
        <w:rPr>
          <w:rFonts w:ascii="Times New Roman" w:eastAsia="Times New Roman" w:hAnsi="Times New Roman" w:cs="Times New Roman"/>
          <w:b/>
          <w:sz w:val="24"/>
          <w:szCs w:val="24"/>
          <w:u w:val="single"/>
        </w:rPr>
        <w:t>закупівель</w:t>
      </w:r>
      <w:proofErr w:type="spellEnd"/>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u w:val="single"/>
        </w:rPr>
        <w:t xml:space="preserve"> *****</w:t>
      </w:r>
    </w:p>
    <w:p w:rsidR="0037538E" w:rsidRDefault="00686EAF">
      <w:pPr>
        <w:spacing w:after="0"/>
        <w:ind w:firstLine="4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Заповненням відповідних електронних полів вважається проставлення учасником відмітки в </w:t>
      </w:r>
      <w:proofErr w:type="spellStart"/>
      <w:r>
        <w:rPr>
          <w:rFonts w:ascii="Times New Roman" w:eastAsia="Times New Roman" w:hAnsi="Times New Roman" w:cs="Times New Roman"/>
          <w:b/>
          <w:sz w:val="24"/>
          <w:szCs w:val="24"/>
          <w:u w:val="single"/>
        </w:rPr>
        <w:t>чекбоксі</w:t>
      </w:r>
      <w:proofErr w:type="spellEnd"/>
      <w:r>
        <w:rPr>
          <w:rFonts w:ascii="Times New Roman" w:eastAsia="Times New Roman" w:hAnsi="Times New Roman" w:cs="Times New Roman"/>
          <w:b/>
          <w:sz w:val="24"/>
          <w:szCs w:val="24"/>
          <w:u w:val="single"/>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37538E" w:rsidRDefault="00686EAF">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в електронній системі </w:t>
      </w:r>
      <w:proofErr w:type="spellStart"/>
      <w:r>
        <w:rPr>
          <w:rFonts w:ascii="Times New Roman" w:eastAsia="Times New Roman" w:hAnsi="Times New Roman" w:cs="Times New Roman"/>
          <w:sz w:val="24"/>
          <w:szCs w:val="24"/>
          <w:u w:val="single"/>
        </w:rPr>
        <w:t>закупівель</w:t>
      </w:r>
      <w:proofErr w:type="spellEnd"/>
      <w:r>
        <w:rPr>
          <w:rFonts w:ascii="Times New Roman" w:eastAsia="Times New Roman" w:hAnsi="Times New Roman" w:cs="Times New Roman"/>
          <w:sz w:val="24"/>
          <w:szCs w:val="24"/>
          <w:u w:val="single"/>
        </w:rPr>
        <w:t xml:space="preserve"> під час подання тендерної пропозиції </w:t>
      </w:r>
      <w:r>
        <w:rPr>
          <w:rFonts w:ascii="Times New Roman" w:eastAsia="Times New Roman" w:hAnsi="Times New Roman" w:cs="Times New Roman"/>
          <w:b/>
          <w:sz w:val="24"/>
          <w:szCs w:val="24"/>
          <w:u w:val="single"/>
        </w:rPr>
        <w:t>підтверджує відсутність підстави, передбаченої частиною другою статті 17 Закону у вигляді довідки, складеної учасником у довільній формі</w:t>
      </w:r>
      <w:r>
        <w:rPr>
          <w:rFonts w:ascii="Times New Roman" w:eastAsia="Times New Roman" w:hAnsi="Times New Roman" w:cs="Times New Roman"/>
          <w:sz w:val="24"/>
          <w:szCs w:val="24"/>
          <w:u w:val="single"/>
        </w:rPr>
        <w:t>, зміст якої підтверджує відсутність відповідної підстави для відмови в участі у процедурі закупівлі.</w:t>
      </w:r>
    </w:p>
    <w:p w:rsidR="0037538E" w:rsidRDefault="00686EAF">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що перебуває в обставинах, зазначених у частині другій цієї статті, </w:t>
      </w:r>
      <w:r>
        <w:rPr>
          <w:rFonts w:ascii="Times New Roman" w:eastAsia="Times New Roman" w:hAnsi="Times New Roman" w:cs="Times New Roman"/>
          <w:b/>
          <w:sz w:val="24"/>
          <w:szCs w:val="24"/>
          <w:u w:val="single"/>
        </w:rPr>
        <w:t>може надати підтвердження вжиття заходів для доведення своєї надійності</w:t>
      </w:r>
      <w:r>
        <w:rPr>
          <w:rFonts w:ascii="Times New Roman" w:eastAsia="Times New Roman" w:hAnsi="Times New Roman" w:cs="Times New Roman"/>
          <w:sz w:val="24"/>
          <w:szCs w:val="24"/>
          <w:u w:val="single"/>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7538E" w:rsidRDefault="00686EAF">
      <w:pPr>
        <w:spacing w:after="0"/>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color w:val="333333"/>
          <w:sz w:val="24"/>
          <w:szCs w:val="24"/>
          <w:highlight w:val="white"/>
          <w:u w:val="single"/>
        </w:rPr>
        <w:t>Всю публічну інформацію щодо учасника, що оприлюднена у формі відкритих даних згідно із </w:t>
      </w:r>
      <w:hyperlink r:id="rId6">
        <w:r>
          <w:rPr>
            <w:rFonts w:ascii="Times New Roman" w:eastAsia="Times New Roman" w:hAnsi="Times New Roman" w:cs="Times New Roman"/>
            <w:color w:val="000099"/>
            <w:sz w:val="24"/>
            <w:szCs w:val="24"/>
            <w:highlight w:val="white"/>
            <w:u w:val="single"/>
          </w:rPr>
          <w:t>Законом України</w:t>
        </w:r>
      </w:hyperlink>
      <w:r>
        <w:rPr>
          <w:rFonts w:ascii="Times New Roman" w:eastAsia="Times New Roman" w:hAnsi="Times New Roman" w:cs="Times New Roman"/>
          <w:color w:val="333333"/>
          <w:sz w:val="24"/>
          <w:szCs w:val="24"/>
          <w:highlight w:val="white"/>
          <w:u w:val="singl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333333"/>
          <w:sz w:val="24"/>
          <w:szCs w:val="24"/>
          <w:highlight w:val="white"/>
          <w:u w:val="single"/>
        </w:rPr>
        <w:t>закупівель</w:t>
      </w:r>
      <w:proofErr w:type="spellEnd"/>
      <w:r>
        <w:rPr>
          <w:rFonts w:ascii="Times New Roman" w:eastAsia="Times New Roman" w:hAnsi="Times New Roman" w:cs="Times New Roman"/>
          <w:color w:val="333333"/>
          <w:sz w:val="24"/>
          <w:szCs w:val="24"/>
          <w:highlight w:val="white"/>
          <w:u w:val="single"/>
        </w:rPr>
        <w:t>, замовник перевіряє самостійно.</w:t>
      </w:r>
    </w:p>
    <w:p w:rsidR="0037538E" w:rsidRDefault="00686EA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37538E" w:rsidRDefault="00686EA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 </w:t>
      </w:r>
    </w:p>
    <w:p w:rsidR="0037538E" w:rsidRDefault="00686EAF">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37538E" w:rsidRDefault="00686EAF">
      <w:pPr>
        <w:spacing w:after="0" w:line="240" w:lineRule="auto"/>
        <w:jc w:val="center"/>
        <w:rPr>
          <w:rFonts w:ascii="Times New Roman" w:eastAsia="Times New Roman" w:hAnsi="Times New Roman" w:cs="Times New Roman"/>
          <w:b/>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Style w:val="af4"/>
        <w:tblW w:w="10020" w:type="dxa"/>
        <w:tblInd w:w="-10" w:type="dxa"/>
        <w:tblLayout w:type="fixed"/>
        <w:tblLook w:val="0400" w:firstRow="0" w:lastRow="0" w:firstColumn="0" w:lastColumn="0" w:noHBand="0" w:noVBand="1"/>
      </w:tblPr>
      <w:tblGrid>
        <w:gridCol w:w="705"/>
        <w:gridCol w:w="4545"/>
        <w:gridCol w:w="4770"/>
      </w:tblGrid>
      <w:tr w:rsidR="0037538E">
        <w:trPr>
          <w:trHeight w:val="143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t>
            </w:r>
          </w:p>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7538E">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w:t>
            </w:r>
            <w:r>
              <w:rPr>
                <w:rFonts w:ascii="Times New Roman" w:eastAsia="Times New Roman" w:hAnsi="Times New Roman" w:cs="Times New Roman"/>
                <w:b/>
                <w:color w:val="000000"/>
                <w:sz w:val="24"/>
                <w:szCs w:val="24"/>
              </w:rPr>
              <w:t>про юридичну особу</w:t>
            </w:r>
            <w:r>
              <w:rPr>
                <w:rFonts w:ascii="Times New Roman" w:eastAsia="Times New Roman" w:hAnsi="Times New Roman" w:cs="Times New Roman"/>
                <w:color w:val="000000"/>
                <w:sz w:val="24"/>
                <w:szCs w:val="24"/>
              </w:rPr>
              <w:t xml:space="preserve">,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38E">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38E">
        <w:trPr>
          <w:trHeight w:val="1018"/>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7538E" w:rsidRDefault="00686E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7538E">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45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77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37538E">
        <w:trPr>
          <w:trHeight w:val="43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pBdr>
                <w:top w:val="nil"/>
                <w:left w:val="nil"/>
                <w:bottom w:val="nil"/>
                <w:right w:val="nil"/>
                <w:between w:val="nil"/>
              </w:pBd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7538E">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13 частини 1 статті 17 Закону)</w:t>
            </w:r>
          </w:p>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w:t>
            </w:r>
          </w:p>
          <w:p w:rsidR="0037538E" w:rsidRDefault="00686EAF">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Щодо переможця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37538E" w:rsidRDefault="00686EAF">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Переможець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w:t>
            </w:r>
            <w:r>
              <w:rPr>
                <w:rFonts w:ascii="Times New Roman" w:eastAsia="Times New Roman" w:hAnsi="Times New Roman" w:cs="Times New Roman"/>
                <w:i/>
                <w:color w:val="000000"/>
                <w:sz w:val="24"/>
                <w:szCs w:val="24"/>
              </w:rPr>
              <w:lastRenderedPageBreak/>
              <w:t>довідку з податкової служби про відсутність податкової заборгованості.</w:t>
            </w:r>
          </w:p>
          <w:p w:rsidR="0037538E" w:rsidRDefault="00686EAF">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 випадку якщо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37538E" w:rsidRDefault="00686EAF">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відсутності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37538E" w:rsidRDefault="00686EAF">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абзацу 3 пункту 3 статті 31 Закону України «Про публічні закупівлі».</w:t>
            </w:r>
          </w:p>
        </w:tc>
      </w:tr>
      <w:tr w:rsidR="0037538E">
        <w:trPr>
          <w:trHeight w:val="37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7538E" w:rsidRDefault="00686EAF">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7538E" w:rsidRDefault="00686EA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Style w:val="af5"/>
        <w:tblW w:w="9975" w:type="dxa"/>
        <w:tblInd w:w="-10" w:type="dxa"/>
        <w:tblLayout w:type="fixed"/>
        <w:tblLook w:val="0400" w:firstRow="0" w:lastRow="0" w:firstColumn="0" w:lastColumn="0" w:noHBand="0" w:noVBand="1"/>
      </w:tblPr>
      <w:tblGrid>
        <w:gridCol w:w="660"/>
        <w:gridCol w:w="4680"/>
        <w:gridCol w:w="4635"/>
      </w:tblGrid>
      <w:tr w:rsidR="0037538E">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t>
            </w:r>
          </w:p>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7538E">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38E">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7538E">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37538E">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7538E">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13 частини 1 статті 17 Закону)</w:t>
            </w:r>
          </w:p>
          <w:p w:rsidR="0037538E" w:rsidRDefault="00686EAF">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w:t>
            </w:r>
          </w:p>
          <w:p w:rsidR="0037538E" w:rsidRDefault="00686EAF">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Щодо переможця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37538E" w:rsidRDefault="00686EAF">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Переможець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37538E" w:rsidRDefault="00686EAF">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 випадку якщо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w:t>
            </w:r>
            <w:r>
              <w:rPr>
                <w:rFonts w:ascii="Times New Roman" w:eastAsia="Times New Roman" w:hAnsi="Times New Roman" w:cs="Times New Roman"/>
                <w:i/>
                <w:color w:val="000000"/>
                <w:sz w:val="24"/>
                <w:szCs w:val="24"/>
              </w:rPr>
              <w:lastRenderedPageBreak/>
              <w:t>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37538E" w:rsidRDefault="00686EA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відсутності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37538E" w:rsidRDefault="00686EA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абзацу 3 пункту 3 статті 31 Закону України «Про публічні закупівлі».</w:t>
            </w:r>
          </w:p>
        </w:tc>
      </w:tr>
      <w:tr w:rsidR="0037538E">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7538E" w:rsidRDefault="00686EAF">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7538E" w:rsidRDefault="00686EAF">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f6"/>
        <w:tblW w:w="9885" w:type="dxa"/>
        <w:tblInd w:w="0" w:type="dxa"/>
        <w:tblLayout w:type="fixed"/>
        <w:tblLook w:val="0400" w:firstRow="0" w:lastRow="0" w:firstColumn="0" w:lastColumn="0" w:noHBand="0" w:noVBand="1"/>
      </w:tblPr>
      <w:tblGrid>
        <w:gridCol w:w="420"/>
        <w:gridCol w:w="9465"/>
      </w:tblGrid>
      <w:tr w:rsidR="0037538E">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7538E" w:rsidRDefault="00686EA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37538E">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7538E">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Pr>
                <w:rFonts w:ascii="Times New Roman" w:eastAsia="Times New Roman" w:hAnsi="Times New Roman" w:cs="Times New Roman"/>
                <w:sz w:val="24"/>
                <w:szCs w:val="24"/>
              </w:rPr>
              <w:lastRenderedPageBreak/>
              <w:t xml:space="preserve">виду діяльності передбачено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37538E">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37538E" w:rsidRDefault="00686EAF">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7538E">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7538E" w:rsidRDefault="00686EAF">
            <w:pPr>
              <w:spacing w:after="0" w:line="276" w:lineRule="auto"/>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37538E" w:rsidRDefault="00686EAF">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37538E">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8E" w:rsidRDefault="00686EAF">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rsidR="0037538E" w:rsidRDefault="0037538E">
      <w:pPr>
        <w:spacing w:after="0" w:line="240" w:lineRule="auto"/>
        <w:jc w:val="both"/>
        <w:rPr>
          <w:rFonts w:ascii="Times New Roman" w:eastAsia="Times New Roman" w:hAnsi="Times New Roman" w:cs="Times New Roman"/>
          <w:b/>
          <w:sz w:val="24"/>
          <w:szCs w:val="24"/>
          <w:highlight w:val="yellow"/>
        </w:rPr>
      </w:pPr>
    </w:p>
    <w:p w:rsidR="0037538E" w:rsidRDefault="0037538E">
      <w:pPr>
        <w:spacing w:after="0" w:line="240" w:lineRule="auto"/>
        <w:rPr>
          <w:rFonts w:ascii="Times New Roman" w:eastAsia="Times New Roman" w:hAnsi="Times New Roman" w:cs="Times New Roman"/>
          <w:i/>
          <w:sz w:val="24"/>
          <w:szCs w:val="24"/>
        </w:rPr>
      </w:pPr>
      <w:bookmarkStart w:id="4" w:name="_heading=h.tyjcwt" w:colFirst="0" w:colLast="0"/>
      <w:bookmarkEnd w:id="4"/>
    </w:p>
    <w:p w:rsidR="0037538E" w:rsidRDefault="0037538E">
      <w:pPr>
        <w:spacing w:after="0" w:line="240" w:lineRule="auto"/>
        <w:rPr>
          <w:rFonts w:ascii="Times New Roman" w:eastAsia="Times New Roman" w:hAnsi="Times New Roman" w:cs="Times New Roman"/>
          <w:i/>
          <w:sz w:val="24"/>
          <w:szCs w:val="24"/>
        </w:rPr>
      </w:pPr>
    </w:p>
    <w:sectPr w:rsidR="0037538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E1626"/>
    <w:multiLevelType w:val="multilevel"/>
    <w:tmpl w:val="D7CEAC1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8E"/>
    <w:rsid w:val="001D4C26"/>
    <w:rsid w:val="0037538E"/>
    <w:rsid w:val="00686EAF"/>
    <w:rsid w:val="00E7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DD206-F219-4585-B6E5-66C4953A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character" w:styleId="af9">
    <w:name w:val="Emphasis"/>
    <w:basedOn w:val="a0"/>
    <w:uiPriority w:val="20"/>
    <w:qFormat/>
    <w:rsid w:val="00E74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HPkfhZKPxv6+PpWj8VdTzt22Q==">AMUW2mWfHV2q94IvLMTwxmpRbI/cyAI09V7tdulkNoF5ObSwNlpJeLSc7oq2TNMsOseZsti81wBfBmzVrdmGva4tzHErl3wjcFYbx8x8dR33yqx6BAb/PTAtRIm/YjUczwlsc+uhP5sAqEH6mJLY3uAmGZmbbuyuY1xC/cg0EEind4tx12bjVvctPRKZWzQYuwp+5/bTUnIU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3510</Words>
  <Characters>20013</Characters>
  <Application>Microsoft Office Word</Application>
  <DocSecurity>0</DocSecurity>
  <Lines>166</Lines>
  <Paragraphs>46</Paragraphs>
  <ScaleCrop>false</ScaleCrop>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cp:revision>
  <dcterms:created xsi:type="dcterms:W3CDTF">2020-04-07T14:53:00Z</dcterms:created>
  <dcterms:modified xsi:type="dcterms:W3CDTF">2022-11-09T13:27:00Z</dcterms:modified>
</cp:coreProperties>
</file>