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Calibri"/>
          <w:b/>
          <w:i/>
          <w:lang w:val="uk-UA" w:eastAsia="en-US"/>
        </w:rPr>
      </w:pPr>
      <w:r>
        <w:rPr>
          <w:rFonts w:eastAsia="Calibri"/>
          <w:b/>
          <w:i/>
          <w:lang w:val="uk-UA" w:eastAsia="en-US"/>
        </w:rPr>
        <w:t>Додаток 2</w:t>
      </w:r>
    </w:p>
    <w:p>
      <w:pPr>
        <w:jc w:val="right"/>
        <w:rPr>
          <w:rFonts w:eastAsia="Calibri"/>
          <w:b/>
          <w:i/>
          <w:lang w:val="uk-UA" w:eastAsia="en-US"/>
        </w:rPr>
      </w:pPr>
      <w:r>
        <w:rPr>
          <w:rFonts w:eastAsia="Calibri"/>
          <w:b/>
          <w:i/>
          <w:lang w:val="uk-UA" w:eastAsia="en-US"/>
        </w:rPr>
        <w:t>до тендерної документації</w:t>
      </w:r>
    </w:p>
    <w:p>
      <w:pPr>
        <w:rPr>
          <w:rFonts w:eastAsia="Calibri"/>
          <w:b/>
          <w:lang w:val="uk-UA" w:eastAsia="en-US"/>
        </w:rPr>
      </w:pPr>
    </w:p>
    <w:p>
      <w:pPr>
        <w:spacing w:before="240"/>
        <w:jc w:val="center"/>
        <w:rPr>
          <w:b/>
          <w:bCs/>
          <w:i/>
          <w:iCs/>
          <w:color w:val="000000"/>
          <w:shd w:val="clear" w:color="auto" w:fill="FFFFFF"/>
          <w:lang w:val="uk-UA"/>
        </w:rPr>
      </w:pPr>
      <w:r>
        <w:rPr>
          <w:b/>
          <w:bCs/>
          <w:i/>
          <w:iCs/>
          <w:color w:val="000000"/>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pPr>
        <w:spacing w:before="240"/>
        <w:jc w:val="center"/>
        <w:rPr>
          <w:lang w:val="uk-UA"/>
        </w:rPr>
      </w:pPr>
      <w:r>
        <w:rPr>
          <w:b/>
          <w:bCs/>
          <w:i/>
          <w:iCs/>
          <w:color w:val="000000"/>
          <w:shd w:val="clear" w:color="auto" w:fill="FFFFFF"/>
          <w:lang w:val="uk-UA"/>
        </w:rPr>
        <w:t>Технічна специфікація</w:t>
      </w:r>
    </w:p>
    <w:p>
      <w:pPr>
        <w:spacing w:before="240" w:after="240"/>
        <w:contextualSpacing/>
        <w:jc w:val="both"/>
        <w:rPr>
          <w:sz w:val="20"/>
          <w:szCs w:val="20"/>
          <w:lang w:val="uk-UA"/>
        </w:rPr>
      </w:pPr>
    </w:p>
    <w:p>
      <w:pPr>
        <w:rPr>
          <w:b/>
          <w:lang w:val="uk-UA"/>
        </w:rPr>
      </w:pPr>
    </w:p>
    <w:tbl>
      <w:tblPr>
        <w:tblStyle w:val="3"/>
        <w:tblW w:w="10207" w:type="dxa"/>
        <w:tblInd w:w="-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6"/>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836" w:type="dxa"/>
            <w:tcBorders>
              <w:top w:val="single" w:color="auto" w:sz="6" w:space="0"/>
              <w:left w:val="single" w:color="auto" w:sz="6" w:space="0"/>
              <w:bottom w:val="single" w:color="auto" w:sz="6" w:space="0"/>
              <w:right w:val="single" w:color="auto" w:sz="6" w:space="0"/>
            </w:tcBorders>
            <w:vAlign w:val="center"/>
          </w:tcPr>
          <w:p>
            <w:pPr>
              <w:rPr>
                <w:lang w:val="uk-UA"/>
              </w:rPr>
            </w:pPr>
            <w:r>
              <w:rPr>
                <w:lang w:val="uk-UA"/>
              </w:rPr>
              <w:t xml:space="preserve">Конкретне </w:t>
            </w:r>
            <w:r>
              <w:rPr>
                <w:lang w:val="uk-UA" w:eastAsia="uk-UA"/>
              </w:rPr>
              <w:t>найменування предмета закупівлі</w:t>
            </w:r>
          </w:p>
        </w:tc>
        <w:tc>
          <w:tcPr>
            <w:tcW w:w="7371" w:type="dxa"/>
            <w:tcBorders>
              <w:top w:val="single" w:color="auto" w:sz="6" w:space="0"/>
              <w:left w:val="single" w:color="auto" w:sz="6" w:space="0"/>
              <w:bottom w:val="single" w:color="auto" w:sz="6" w:space="0"/>
              <w:right w:val="single" w:color="auto" w:sz="6" w:space="0"/>
            </w:tcBorders>
            <w:vAlign w:val="center"/>
          </w:tcPr>
          <w:p>
            <w:pPr>
              <w:rPr>
                <w:lang w:val="uk-UA"/>
              </w:rPr>
            </w:pPr>
            <w:r>
              <w:rPr>
                <w:color w:val="000000"/>
                <w:lang w:val="uk-UA"/>
              </w:rPr>
              <w:t>Електрична енергія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836" w:type="dxa"/>
            <w:tcBorders>
              <w:top w:val="single" w:color="auto" w:sz="6" w:space="0"/>
              <w:left w:val="single" w:color="auto" w:sz="6" w:space="0"/>
              <w:bottom w:val="single" w:color="auto" w:sz="6" w:space="0"/>
              <w:right w:val="single" w:color="auto" w:sz="6" w:space="0"/>
            </w:tcBorders>
            <w:vAlign w:val="center"/>
          </w:tcPr>
          <w:p>
            <w:pPr>
              <w:rPr>
                <w:lang w:val="uk-UA"/>
              </w:rPr>
            </w:pPr>
            <w:r>
              <w:rPr>
                <w:lang w:val="uk-UA"/>
              </w:rPr>
              <w:t>Код ДК 021:2015</w:t>
            </w:r>
          </w:p>
        </w:tc>
        <w:tc>
          <w:tcPr>
            <w:tcW w:w="7371" w:type="dxa"/>
            <w:tcBorders>
              <w:top w:val="single" w:color="auto" w:sz="6" w:space="0"/>
              <w:left w:val="single" w:color="auto" w:sz="6" w:space="0"/>
              <w:bottom w:val="single" w:color="auto" w:sz="6" w:space="0"/>
              <w:right w:val="single" w:color="auto" w:sz="6" w:space="0"/>
            </w:tcBorders>
            <w:vAlign w:val="center"/>
          </w:tcPr>
          <w:p>
            <w:pPr>
              <w:rPr>
                <w:lang w:val="uk-UA"/>
              </w:rPr>
            </w:pPr>
            <w:r>
              <w:rPr>
                <w:lang w:val="uk-UA"/>
              </w:rPr>
              <w:t>09310000-5 «Електрична енергія»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836" w:type="dxa"/>
            <w:tcBorders>
              <w:top w:val="single" w:color="auto" w:sz="6" w:space="0"/>
              <w:left w:val="single" w:color="auto" w:sz="6" w:space="0"/>
              <w:bottom w:val="single" w:color="auto" w:sz="6" w:space="0"/>
              <w:right w:val="single" w:color="auto" w:sz="6" w:space="0"/>
            </w:tcBorders>
            <w:vAlign w:val="center"/>
          </w:tcPr>
          <w:p>
            <w:pPr>
              <w:rPr>
                <w:lang w:val="uk-UA"/>
              </w:rPr>
            </w:pPr>
            <w:r>
              <w:rPr>
                <w:lang w:val="uk-UA"/>
              </w:rPr>
              <w:t>Місце поставки товару</w:t>
            </w:r>
          </w:p>
        </w:tc>
        <w:tc>
          <w:tcPr>
            <w:tcW w:w="7371" w:type="dxa"/>
            <w:tcBorders>
              <w:top w:val="single" w:color="auto" w:sz="6" w:space="0"/>
              <w:left w:val="single" w:color="auto" w:sz="6" w:space="0"/>
              <w:bottom w:val="single" w:color="auto" w:sz="6" w:space="0"/>
              <w:right w:val="single" w:color="auto" w:sz="6" w:space="0"/>
            </w:tcBorders>
            <w:shd w:val="clear" w:color="auto" w:fill="auto"/>
          </w:tcPr>
          <w:p>
            <w:pPr>
              <w:pStyle w:val="5"/>
              <w:widowControl w:val="0"/>
              <w:snapToGrid w:val="0"/>
              <w:spacing w:line="300" w:lineRule="auto"/>
              <w:rPr>
                <w:rFonts w:eastAsia="Calibri"/>
                <w:bCs/>
                <w:lang w:eastAsia="zh-CN"/>
              </w:rPr>
            </w:pPr>
            <w:r>
              <w:rPr>
                <w:rFonts w:eastAsia="Calibri"/>
                <w:lang w:eastAsia="zh-CN"/>
              </w:rPr>
              <w:t xml:space="preserve">61052, Україна, </w:t>
            </w:r>
            <w:r>
              <w:rPr>
                <w:rFonts w:eastAsia="Calibri"/>
              </w:rPr>
              <w:t xml:space="preserve">м. Харків, </w:t>
            </w:r>
            <w:r>
              <w:rPr>
                <w:rFonts w:eastAsia="Calibri"/>
                <w:bCs/>
                <w:lang w:eastAsia="zh-CN"/>
              </w:rPr>
              <w:t xml:space="preserve">вул. Дмитрівська, 26; </w:t>
            </w:r>
          </w:p>
          <w:p>
            <w:pPr>
              <w:rPr>
                <w:lang w:val="uk-UA"/>
              </w:rPr>
            </w:pPr>
            <w:r>
              <w:rPr>
                <w:lang w:val="uk-UA"/>
              </w:rPr>
              <w:t xml:space="preserve">61052, </w:t>
            </w:r>
            <w:r>
              <w:rPr>
                <w:rFonts w:eastAsia="Calibri"/>
                <w:lang w:eastAsia="zh-CN"/>
              </w:rPr>
              <w:t xml:space="preserve">Україна, </w:t>
            </w:r>
            <w:r>
              <w:rPr>
                <w:lang w:val="uk-UA"/>
              </w:rPr>
              <w:t>м. Харків, пров. Рубанівський, буд.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836" w:type="dxa"/>
            <w:tcBorders>
              <w:top w:val="single" w:color="auto" w:sz="6" w:space="0"/>
              <w:left w:val="single" w:color="auto" w:sz="6" w:space="0"/>
              <w:bottom w:val="single" w:color="auto" w:sz="6" w:space="0"/>
              <w:right w:val="single" w:color="auto" w:sz="6" w:space="0"/>
            </w:tcBorders>
            <w:vAlign w:val="center"/>
          </w:tcPr>
          <w:p>
            <w:pPr>
              <w:rPr>
                <w:lang w:val="uk-UA"/>
              </w:rPr>
            </w:pPr>
            <w:r>
              <w:rPr>
                <w:lang w:val="uk-UA"/>
              </w:rPr>
              <w:t>Строк поставки товару</w:t>
            </w:r>
          </w:p>
        </w:tc>
        <w:tc>
          <w:tcPr>
            <w:tcW w:w="7371" w:type="dxa"/>
            <w:tcBorders>
              <w:top w:val="single" w:color="auto" w:sz="6" w:space="0"/>
              <w:left w:val="single" w:color="auto" w:sz="6" w:space="0"/>
              <w:bottom w:val="single" w:color="auto" w:sz="6" w:space="0"/>
              <w:right w:val="single" w:color="auto" w:sz="6" w:space="0"/>
            </w:tcBorders>
            <w:vAlign w:val="center"/>
          </w:tcPr>
          <w:p>
            <w:pPr>
              <w:rPr>
                <w:shd w:val="clear" w:color="auto" w:fill="FFFFFF"/>
                <w:lang w:val="uk-UA" w:eastAsia="uk-UA"/>
              </w:rPr>
            </w:pPr>
            <w:r>
              <w:rPr>
                <w:color w:val="000000"/>
                <w:lang w:val="uk-UA"/>
              </w:rPr>
              <w:t>Цілодобово до 31.12.2023 включно</w:t>
            </w:r>
          </w:p>
        </w:tc>
      </w:tr>
    </w:tbl>
    <w:p>
      <w:pPr>
        <w:jc w:val="center"/>
        <w:rPr>
          <w:b/>
          <w:lang w:val="uk-UA"/>
        </w:rPr>
      </w:pPr>
    </w:p>
    <w:p>
      <w:pPr>
        <w:spacing w:after="120"/>
        <w:jc w:val="center"/>
        <w:rPr>
          <w:b/>
          <w:lang w:val="uk-UA"/>
        </w:rPr>
      </w:pPr>
      <w:r>
        <w:rPr>
          <w:b/>
          <w:lang w:val="uk-UA"/>
        </w:rPr>
        <w:t>Детальний опис предмета закупівлі та вимоги щодо якості</w:t>
      </w:r>
    </w:p>
    <w:p>
      <w:pPr>
        <w:jc w:val="center"/>
        <w:rPr>
          <w:i/>
          <w:highlight w:val="white"/>
          <w:lang w:val="uk-UA"/>
        </w:rPr>
      </w:pPr>
    </w:p>
    <w:tbl>
      <w:tblPr>
        <w:tblStyle w:val="3"/>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520"/>
        <w:gridCol w:w="2082"/>
        <w:gridCol w:w="1698"/>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80" w:type="dxa"/>
          </w:tcPr>
          <w:p>
            <w:pPr>
              <w:jc w:val="center"/>
              <w:rPr>
                <w:lang w:val="uk-UA"/>
              </w:rPr>
            </w:pPr>
          </w:p>
          <w:p>
            <w:pPr>
              <w:jc w:val="center"/>
              <w:rPr>
                <w:lang w:val="uk-UA"/>
              </w:rPr>
            </w:pPr>
            <w:r>
              <w:rPr>
                <w:lang w:val="uk-UA"/>
              </w:rPr>
              <w:t>№ з/п</w:t>
            </w:r>
          </w:p>
        </w:tc>
        <w:tc>
          <w:tcPr>
            <w:tcW w:w="2520" w:type="dxa"/>
            <w:shd w:val="clear" w:color="auto" w:fill="auto"/>
            <w:vAlign w:val="center"/>
          </w:tcPr>
          <w:p>
            <w:pPr>
              <w:jc w:val="center"/>
              <w:rPr>
                <w:lang w:val="uk-UA"/>
              </w:rPr>
            </w:pPr>
            <w:r>
              <w:rPr>
                <w:lang w:val="uk-UA"/>
              </w:rPr>
              <w:t xml:space="preserve">Найменування товару </w:t>
            </w:r>
          </w:p>
        </w:tc>
        <w:tc>
          <w:tcPr>
            <w:tcW w:w="2082" w:type="dxa"/>
            <w:vAlign w:val="center"/>
          </w:tcPr>
          <w:p>
            <w:pPr>
              <w:ind w:left="-33" w:right="-108" w:hanging="11"/>
              <w:jc w:val="center"/>
              <w:rPr>
                <w:lang w:val="uk-UA"/>
              </w:rPr>
            </w:pPr>
            <w:r>
              <w:rPr>
                <w:lang w:val="uk-UA"/>
              </w:rPr>
              <w:t xml:space="preserve">ДСТУ </w:t>
            </w:r>
          </w:p>
        </w:tc>
        <w:tc>
          <w:tcPr>
            <w:tcW w:w="1698" w:type="dxa"/>
          </w:tcPr>
          <w:p>
            <w:pPr>
              <w:ind w:left="-108" w:right="-108"/>
              <w:jc w:val="center"/>
              <w:rPr>
                <w:lang w:val="uk-UA"/>
              </w:rPr>
            </w:pPr>
            <w:r>
              <w:rPr>
                <w:lang w:val="uk-UA"/>
              </w:rPr>
              <w:t>Код класифікатору ДК 021:2015</w:t>
            </w:r>
          </w:p>
        </w:tc>
        <w:tc>
          <w:tcPr>
            <w:tcW w:w="1440" w:type="dxa"/>
            <w:vAlign w:val="center"/>
          </w:tcPr>
          <w:p>
            <w:pPr>
              <w:ind w:left="-108" w:right="-108"/>
              <w:jc w:val="center"/>
              <w:rPr>
                <w:lang w:val="uk-UA"/>
              </w:rPr>
            </w:pPr>
            <w:r>
              <w:rPr>
                <w:lang w:val="uk-UA"/>
              </w:rPr>
              <w:t>Од. виміру</w:t>
            </w:r>
          </w:p>
        </w:tc>
        <w:tc>
          <w:tcPr>
            <w:tcW w:w="1260" w:type="dxa"/>
            <w:vAlign w:val="center"/>
          </w:tcPr>
          <w:p>
            <w:pPr>
              <w:ind w:left="-41" w:right="-108"/>
              <w:jc w:val="center"/>
              <w:rPr>
                <w:lang w:val="uk-UA"/>
              </w:rPr>
            </w:pPr>
            <w:r>
              <w:rPr>
                <w:lang w:val="uk-UA"/>
              </w:rPr>
              <w:t>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1080" w:type="dxa"/>
          </w:tcPr>
          <w:p>
            <w:pPr>
              <w:pStyle w:val="4"/>
              <w:spacing w:after="0" w:line="240" w:lineRule="auto"/>
              <w:ind w:left="0" w:right="-57"/>
              <w:jc w:val="center"/>
              <w:rPr>
                <w:rFonts w:eastAsia="Calibri"/>
                <w:sz w:val="22"/>
                <w:szCs w:val="22"/>
                <w:lang w:val="uk-UA" w:eastAsia="en-US"/>
              </w:rPr>
            </w:pPr>
            <w:r>
              <w:rPr>
                <w:rFonts w:eastAsia="Calibri"/>
                <w:sz w:val="22"/>
                <w:szCs w:val="22"/>
                <w:lang w:val="uk-UA" w:eastAsia="en-US"/>
              </w:rPr>
              <w:t>1</w:t>
            </w:r>
          </w:p>
        </w:tc>
        <w:tc>
          <w:tcPr>
            <w:tcW w:w="2520" w:type="dxa"/>
            <w:shd w:val="clear" w:color="auto" w:fill="auto"/>
            <w:vAlign w:val="center"/>
          </w:tcPr>
          <w:p>
            <w:pPr>
              <w:pStyle w:val="4"/>
              <w:spacing w:after="0" w:line="240" w:lineRule="auto"/>
              <w:ind w:left="0" w:right="-57"/>
              <w:rPr>
                <w:rFonts w:eastAsia="Calibri"/>
                <w:sz w:val="22"/>
                <w:szCs w:val="22"/>
                <w:lang w:val="uk-UA" w:eastAsia="en-US"/>
              </w:rPr>
            </w:pPr>
            <w:r>
              <w:rPr>
                <w:rFonts w:eastAsia="Calibri"/>
                <w:sz w:val="22"/>
                <w:szCs w:val="22"/>
                <w:lang w:val="uk-UA" w:eastAsia="en-US"/>
              </w:rPr>
              <w:t xml:space="preserve">Електрична енергія </w:t>
            </w:r>
          </w:p>
        </w:tc>
        <w:tc>
          <w:tcPr>
            <w:tcW w:w="2082" w:type="dxa"/>
            <w:vAlign w:val="center"/>
          </w:tcPr>
          <w:p>
            <w:pPr>
              <w:jc w:val="center"/>
              <w:rPr>
                <w:lang w:val="uk-UA"/>
              </w:rPr>
            </w:pPr>
            <w:r>
              <w:rPr>
                <w:lang w:val="uk-UA"/>
              </w:rPr>
              <w:t>ДСТУ EN 50160:2014</w:t>
            </w:r>
          </w:p>
        </w:tc>
        <w:tc>
          <w:tcPr>
            <w:tcW w:w="1698" w:type="dxa"/>
            <w:vAlign w:val="center"/>
          </w:tcPr>
          <w:p>
            <w:pPr>
              <w:ind w:left="-108" w:right="-74"/>
              <w:jc w:val="center"/>
              <w:rPr>
                <w:lang w:val="uk-UA"/>
              </w:rPr>
            </w:pPr>
            <w:r>
              <w:rPr>
                <w:lang w:val="uk-UA"/>
              </w:rPr>
              <w:t>09310000-5</w:t>
            </w:r>
          </w:p>
        </w:tc>
        <w:tc>
          <w:tcPr>
            <w:tcW w:w="1440" w:type="dxa"/>
            <w:vAlign w:val="center"/>
          </w:tcPr>
          <w:p>
            <w:pPr>
              <w:ind w:left="-108" w:right="-74"/>
              <w:jc w:val="center"/>
              <w:rPr>
                <w:lang w:val="uk-UA"/>
              </w:rPr>
            </w:pPr>
            <w:r>
              <w:rPr>
                <w:lang w:val="uk-UA"/>
              </w:rPr>
              <w:t>кВт*год</w:t>
            </w:r>
          </w:p>
        </w:tc>
        <w:tc>
          <w:tcPr>
            <w:tcW w:w="1260" w:type="dxa"/>
            <w:vAlign w:val="center"/>
          </w:tcPr>
          <w:p>
            <w:pPr>
              <w:ind w:left="-108" w:right="-74"/>
              <w:jc w:val="center"/>
              <w:rPr>
                <w:b/>
              </w:rPr>
            </w:pPr>
            <w:r>
              <w:rPr>
                <w:rFonts w:hint="default"/>
                <w:b/>
              </w:rPr>
              <w:t>24 206</w:t>
            </w:r>
            <w:bookmarkStart w:id="0" w:name="_GoBack"/>
            <w:bookmarkEnd w:id="0"/>
          </w:p>
        </w:tc>
      </w:tr>
    </w:tbl>
    <w:p>
      <w:pPr>
        <w:spacing w:after="120"/>
        <w:jc w:val="center"/>
        <w:rPr>
          <w:lang w:val="uk-UA"/>
        </w:rPr>
      </w:pPr>
    </w:p>
    <w:p>
      <w:pPr>
        <w:widowControl w:val="0"/>
        <w:ind w:firstLine="720"/>
        <w:jc w:val="both"/>
        <w:rPr>
          <w:color w:val="262626"/>
          <w:lang w:val="uk-UA"/>
        </w:rPr>
      </w:pPr>
      <w:r>
        <w:rPr>
          <w:b/>
          <w:color w:val="262626"/>
          <w:lang w:val="uk-UA"/>
        </w:rPr>
        <w:t>2. Умови розрахунків:</w:t>
      </w:r>
      <w:r>
        <w:rPr>
          <w:color w:val="262626"/>
          <w:lang w:val="uk-UA"/>
        </w:rPr>
        <w:t xml:space="preserve"> Розрахунки за електричну енергію здійснюються Споживачем у національній валюті України  шляхом безготівкового перерахування коштів на поточний рахунок Постачальника в наступному порядку:</w:t>
      </w:r>
    </w:p>
    <w:p>
      <w:pPr>
        <w:ind w:firstLine="720"/>
        <w:jc w:val="both"/>
        <w:rPr>
          <w:color w:val="262626"/>
          <w:lang w:val="uk-UA"/>
        </w:rPr>
      </w:pPr>
    </w:p>
    <w:p>
      <w:pPr>
        <w:ind w:firstLine="720"/>
        <w:jc w:val="both"/>
        <w:rPr>
          <w:lang w:val="uk-UA"/>
        </w:rPr>
      </w:pPr>
      <w:r>
        <w:rPr>
          <w:lang w:val="uk-UA"/>
        </w:rPr>
        <w:t>Оплата електричної енергії за розрахунковий період здійснюється Споживачем у строк протягом 10 (десяти) робочих днів з моменту отримання рахунків постачальника електричної енергії, який надається протягом 12 (дванадцяти) календарних днів після закінчення розрахункового періоду.</w:t>
      </w:r>
    </w:p>
    <w:p>
      <w:pPr>
        <w:tabs>
          <w:tab w:val="left" w:pos="8610"/>
        </w:tabs>
        <w:suppressAutoHyphens/>
        <w:ind w:firstLine="720"/>
        <w:jc w:val="both"/>
        <w:rPr>
          <w:lang w:val="uk-UA" w:eastAsia="ar-SA"/>
        </w:rPr>
      </w:pPr>
      <w:r>
        <w:rPr>
          <w:lang w:val="uk-UA" w:eastAsia="ar-SA"/>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повинні відповідати:</w:t>
      </w:r>
    </w:p>
    <w:p>
      <w:pPr>
        <w:tabs>
          <w:tab w:val="left" w:pos="8610"/>
        </w:tabs>
        <w:suppressAutoHyphens/>
        <w:ind w:firstLine="720"/>
        <w:jc w:val="both"/>
        <w:rPr>
          <w:lang w:val="uk-UA" w:eastAsia="ar-SA"/>
        </w:rPr>
      </w:pPr>
      <w:r>
        <w:rPr>
          <w:lang w:val="uk-UA" w:eastAsia="ar-SA"/>
        </w:rPr>
        <w:t xml:space="preserve">-  </w:t>
      </w:r>
      <w:r>
        <w:rPr>
          <w:lang w:val="uk-UA" w:eastAsia="uk-UA"/>
        </w:rPr>
        <w:t>Закон України «Про ринок електричної енергії» від 13.04.2017 № 2019-VIII</w:t>
      </w:r>
      <w:r>
        <w:rPr>
          <w:lang w:val="uk-UA" w:eastAsia="ar-SA"/>
        </w:rPr>
        <w:t>;</w:t>
      </w:r>
    </w:p>
    <w:p>
      <w:pPr>
        <w:tabs>
          <w:tab w:val="left" w:pos="8610"/>
        </w:tabs>
        <w:suppressAutoHyphens/>
        <w:ind w:firstLine="567"/>
        <w:jc w:val="both"/>
        <w:rPr>
          <w:lang w:val="uk-UA" w:eastAsia="ar-SA"/>
        </w:rPr>
      </w:pPr>
      <w:r>
        <w:rPr>
          <w:lang w:val="uk-UA" w:eastAsia="ar-SA"/>
        </w:rPr>
        <w:t xml:space="preserve">  - </w:t>
      </w:r>
      <w:r>
        <w:rPr>
          <w:lang w:val="uk-UA" w:eastAsia="uk-UA"/>
        </w:rPr>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r>
        <w:rPr>
          <w:lang w:val="uk-UA" w:eastAsia="ar-SA"/>
        </w:rPr>
        <w:t>;</w:t>
      </w:r>
    </w:p>
    <w:p>
      <w:pPr>
        <w:tabs>
          <w:tab w:val="left" w:pos="8610"/>
        </w:tabs>
        <w:suppressAutoHyphens/>
        <w:ind w:firstLine="720"/>
        <w:jc w:val="both"/>
        <w:rPr>
          <w:lang w:val="uk-UA" w:eastAsia="ar-SA"/>
        </w:rPr>
      </w:pPr>
      <w:r>
        <w:rPr>
          <w:lang w:val="uk-UA" w:eastAsia="ar-SA"/>
        </w:rPr>
        <w:t xml:space="preserve">-  </w:t>
      </w:r>
      <w:r>
        <w:rPr>
          <w:lang w:val="uk-UA" w:eastAsia="uk-UA"/>
        </w:rPr>
        <w:t>Кодекс систем розподілу, затверджений постановою Національної комісії регулювання електроенергетики та комунальних послуг України від 14.03.2018 р. №310</w:t>
      </w:r>
      <w:r>
        <w:rPr>
          <w:lang w:val="uk-UA" w:eastAsia="ar-SA"/>
        </w:rPr>
        <w:t xml:space="preserve">; </w:t>
      </w:r>
    </w:p>
    <w:p>
      <w:pPr>
        <w:ind w:firstLine="720"/>
        <w:jc w:val="both"/>
        <w:rPr>
          <w:lang w:val="uk-UA" w:eastAsia="ar-SA"/>
        </w:rPr>
      </w:pPr>
      <w:r>
        <w:rPr>
          <w:lang w:val="uk-UA" w:eastAsia="ar-SA"/>
        </w:rPr>
        <w:t xml:space="preserve">-  </w:t>
      </w:r>
      <w:r>
        <w:rPr>
          <w:lang w:val="uk-UA" w:eastAsia="uk-UA"/>
        </w:rPr>
        <w:t>Кодекс системи передачі, затверджений постановою Національної комісії регулювання електроенергетики та комунальних послуг України від 14.03.2018 р. №309</w:t>
      </w:r>
      <w:r>
        <w:rPr>
          <w:lang w:val="uk-UA" w:eastAsia="ar-SA"/>
        </w:rPr>
        <w:t>.</w:t>
      </w:r>
    </w:p>
    <w:p>
      <w:pPr>
        <w:ind w:firstLine="720"/>
        <w:jc w:val="both"/>
        <w:rPr>
          <w:lang w:val="uk-UA" w:eastAsia="ar-SA"/>
        </w:rPr>
      </w:pPr>
      <w:r>
        <w:rPr>
          <w:lang w:val="uk-UA" w:eastAsia="ar-SA"/>
        </w:rPr>
        <w:t>- «Про затвердження Ліцензійних умов провадження господарської діяльності з передачі електричної енергії», затверджених постановою НКРЕКП від 09.11.2017 № 1388;</w:t>
      </w:r>
    </w:p>
    <w:p>
      <w:pPr>
        <w:ind w:firstLine="720"/>
        <w:jc w:val="both"/>
        <w:rPr>
          <w:lang w:val="uk-UA" w:eastAsia="ar-SA"/>
        </w:rPr>
      </w:pPr>
      <w:r>
        <w:rPr>
          <w:lang w:val="uk-UA" w:eastAsia="ar-SA"/>
        </w:rPr>
        <w:t>- «Про затвердження Ліцензійних умов провадження господарської діяльності з постачання електричної енергії споживачу», затверджених постановою НКРЕКП від 27.12.2017 № 1469;</w:t>
      </w:r>
    </w:p>
    <w:p>
      <w:pPr>
        <w:ind w:firstLine="720"/>
        <w:jc w:val="both"/>
        <w:rPr>
          <w:lang w:val="uk-UA" w:eastAsia="ar-SA"/>
        </w:rPr>
      </w:pPr>
      <w:r>
        <w:rPr>
          <w:lang w:val="uk-UA" w:eastAsia="ar-SA"/>
        </w:rPr>
        <w:t>- Інші нормативно-правові акти, прийняті на виконання Закону України «Про ринок електричної енергії».</w:t>
      </w:r>
    </w:p>
    <w:p>
      <w:pPr>
        <w:rPr>
          <w:lang w:val="uk-UA"/>
        </w:rPr>
      </w:pPr>
      <w:r>
        <w:rPr>
          <w:b/>
          <w:lang w:val="uk-UA" w:eastAsia="ar-SA"/>
        </w:rPr>
        <w:t xml:space="preserve"> Якість електричної енергії</w:t>
      </w:r>
      <w:r>
        <w:rPr>
          <w:lang w:val="uk-UA" w:eastAsia="ar-SA"/>
        </w:rPr>
        <w:t xml:space="preserve"> - повинна відповідати ДСТУ: EN 50160-2014 </w:t>
      </w:r>
    </w:p>
    <w:p>
      <w:pPr>
        <w:ind w:firstLine="720"/>
        <w:jc w:val="both"/>
        <w:rPr>
          <w:lang w:val="uk-UA"/>
        </w:rPr>
      </w:pPr>
      <w:r>
        <w:rPr>
          <w:rFonts w:eastAsia="Microsoft YaHei"/>
          <w:lang w:val="uk-UA"/>
        </w:rPr>
        <w:t>Під час виконання договору постачальник повинен дотримуватися вимог чинного законодавства із захисту довкілля.</w:t>
      </w:r>
      <w:r>
        <w:rPr>
          <w:bCs/>
          <w:lang w:val="uk-UA"/>
        </w:rPr>
        <w:t xml:space="preserve"> Т</w:t>
      </w:r>
      <w:r>
        <w:rPr>
          <w:lang w:val="uk-UA"/>
        </w:rPr>
        <w:t>овар, що поставляється, повинен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 про що у складі пропозиції надається довідка у довільній формі.</w:t>
      </w:r>
    </w:p>
    <w:p>
      <w:pPr>
        <w:tabs>
          <w:tab w:val="left" w:pos="993"/>
          <w:tab w:val="left" w:pos="1560"/>
        </w:tabs>
        <w:ind w:right="-2"/>
        <w:rPr>
          <w:lang w:val="uk-UA"/>
        </w:rPr>
      </w:pPr>
      <w:r>
        <w:rPr>
          <w:color w:val="262626"/>
          <w:lang w:val="uk-UA"/>
        </w:rPr>
        <w:tab/>
      </w:r>
      <w:r>
        <w:rPr>
          <w:b/>
          <w:lang w:val="uk-UA"/>
        </w:rPr>
        <w:t>Мета використання товару</w:t>
      </w:r>
      <w:r>
        <w:rPr>
          <w:lang w:val="uk-UA"/>
        </w:rPr>
        <w:t>: для задоволення потреб у споживанні електричної енергії об’єктів Замовника.</w:t>
      </w:r>
    </w:p>
    <w:p>
      <w:pPr>
        <w:tabs>
          <w:tab w:val="left" w:pos="993"/>
          <w:tab w:val="left" w:pos="1560"/>
        </w:tabs>
        <w:ind w:firstLine="567"/>
        <w:jc w:val="center"/>
        <w:rPr>
          <w:color w:val="000000"/>
          <w:lang w:val="uk-UA"/>
        </w:rPr>
      </w:pPr>
      <w:r>
        <w:rPr>
          <w:color w:val="000000"/>
          <w:lang w:val="uk-UA"/>
        </w:rPr>
        <w:t>Точка розподілу електричної енергії знаходиться за адресою:</w:t>
      </w:r>
    </w:p>
    <w:p>
      <w:pPr>
        <w:tabs>
          <w:tab w:val="left" w:pos="993"/>
          <w:tab w:val="left" w:pos="1560"/>
        </w:tabs>
        <w:ind w:firstLine="567"/>
        <w:jc w:val="center"/>
        <w:rPr>
          <w:color w:val="000000"/>
          <w:lang w:val="uk-UA"/>
        </w:rPr>
      </w:pPr>
    </w:p>
    <w:tbl>
      <w:tblPr>
        <w:tblStyle w:val="3"/>
        <w:tblpPr w:leftFromText="180" w:rightFromText="180" w:vertAnchor="text" w:tblpY="1"/>
        <w:tblOverlap w:val="never"/>
        <w:tblW w:w="48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2624"/>
        <w:gridCol w:w="3057"/>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 w:type="pct"/>
            <w:shd w:val="clear" w:color="auto" w:fill="auto"/>
          </w:tcPr>
          <w:p>
            <w:pPr>
              <w:jc w:val="center"/>
              <w:rPr>
                <w:sz w:val="20"/>
                <w:szCs w:val="20"/>
                <w:lang w:val="uk-UA"/>
              </w:rPr>
            </w:pPr>
            <w:r>
              <w:rPr>
                <w:sz w:val="20"/>
                <w:szCs w:val="20"/>
                <w:lang w:val="uk-UA"/>
              </w:rPr>
              <w:t>№</w:t>
            </w:r>
          </w:p>
          <w:p>
            <w:pPr>
              <w:jc w:val="both"/>
              <w:rPr>
                <w:sz w:val="20"/>
                <w:szCs w:val="20"/>
                <w:lang w:val="uk-UA"/>
              </w:rPr>
            </w:pPr>
            <w:r>
              <w:rPr>
                <w:sz w:val="20"/>
                <w:szCs w:val="20"/>
                <w:lang w:val="uk-UA"/>
              </w:rPr>
              <w:t>З/П</w:t>
            </w:r>
          </w:p>
        </w:tc>
        <w:tc>
          <w:tcPr>
            <w:tcW w:w="1478" w:type="pct"/>
            <w:shd w:val="clear" w:color="auto" w:fill="auto"/>
            <w:vAlign w:val="center"/>
          </w:tcPr>
          <w:p>
            <w:pPr>
              <w:rPr>
                <w:sz w:val="20"/>
                <w:szCs w:val="20"/>
                <w:lang w:val="uk-UA"/>
              </w:rPr>
            </w:pPr>
            <w:r>
              <w:rPr>
                <w:lang w:val="uk-UA" w:eastAsia="uk-UA"/>
              </w:rPr>
              <w:t>Найменування об’єкта електроспоживання</w:t>
            </w:r>
          </w:p>
        </w:tc>
        <w:tc>
          <w:tcPr>
            <w:tcW w:w="1722" w:type="pct"/>
            <w:shd w:val="clear" w:color="auto" w:fill="auto"/>
            <w:vAlign w:val="center"/>
          </w:tcPr>
          <w:p>
            <w:pPr>
              <w:rPr>
                <w:sz w:val="20"/>
                <w:szCs w:val="20"/>
                <w:lang w:val="uk-UA"/>
              </w:rPr>
            </w:pPr>
            <w:r>
              <w:rPr>
                <w:lang w:val="uk-UA" w:eastAsia="uk-UA"/>
              </w:rPr>
              <w:t>Адреса об’єкта електроспоживання</w:t>
            </w:r>
          </w:p>
        </w:tc>
        <w:tc>
          <w:tcPr>
            <w:tcW w:w="1497" w:type="pct"/>
            <w:shd w:val="clear" w:color="auto" w:fill="auto"/>
            <w:vAlign w:val="center"/>
          </w:tcPr>
          <w:p>
            <w:pPr>
              <w:rPr>
                <w:sz w:val="20"/>
                <w:szCs w:val="20"/>
                <w:lang w:val="uk-UA"/>
              </w:rPr>
            </w:pPr>
            <w:r>
              <w:rPr>
                <w:lang w:val="uk-UA" w:eastAsia="uk-UA"/>
              </w:rPr>
              <w:t>EIC код об’єкта електроспоживання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 w:type="pct"/>
            <w:shd w:val="clear" w:color="auto" w:fill="auto"/>
          </w:tcPr>
          <w:p>
            <w:pPr>
              <w:jc w:val="both"/>
              <w:rPr>
                <w:sz w:val="20"/>
                <w:szCs w:val="20"/>
                <w:lang w:val="uk-UA"/>
              </w:rPr>
            </w:pPr>
            <w:r>
              <w:rPr>
                <w:lang w:val="uk-UA" w:eastAsia="uk-UA"/>
              </w:rPr>
              <w:t>1</w:t>
            </w:r>
          </w:p>
        </w:tc>
        <w:tc>
          <w:tcPr>
            <w:tcW w:w="1478" w:type="pct"/>
            <w:shd w:val="clear" w:color="auto" w:fill="auto"/>
          </w:tcPr>
          <w:p>
            <w:pPr>
              <w:widowControl w:val="0"/>
              <w:ind w:left="20"/>
              <w:jc w:val="center"/>
              <w:rPr>
                <w:rFonts w:eastAsia="Tahoma"/>
                <w:lang w:val="uk-UA"/>
              </w:rPr>
            </w:pPr>
            <w:r>
              <w:t>Харківський державний політехнічний коледж</w:t>
            </w:r>
          </w:p>
        </w:tc>
        <w:tc>
          <w:tcPr>
            <w:tcW w:w="1722" w:type="pct"/>
            <w:shd w:val="clear" w:color="auto" w:fill="auto"/>
            <w:vAlign w:val="center"/>
          </w:tcPr>
          <w:p>
            <w:pPr>
              <w:pStyle w:val="5"/>
              <w:widowControl w:val="0"/>
              <w:snapToGrid w:val="0"/>
              <w:spacing w:line="300" w:lineRule="auto"/>
              <w:jc w:val="center"/>
              <w:rPr>
                <w:rFonts w:eastAsia="Calibri"/>
                <w:bCs/>
                <w:lang w:val="uk-UA" w:eastAsia="zh-CN"/>
              </w:rPr>
            </w:pPr>
            <w:r>
              <w:rPr>
                <w:rFonts w:eastAsia="Calibri"/>
                <w:lang w:eastAsia="zh-CN"/>
              </w:rPr>
              <w:t xml:space="preserve">61052, Україна, Харківська обл., </w:t>
            </w:r>
            <w:r>
              <w:rPr>
                <w:rFonts w:eastAsia="Calibri"/>
                <w:lang w:val="uk-UA"/>
              </w:rPr>
              <w:t xml:space="preserve"> м. Харків, </w:t>
            </w:r>
            <w:r>
              <w:rPr>
                <w:rFonts w:ascii="SimSun" w:hAnsi="SimSun" w:eastAsia="SimSun" w:cs="SimSun"/>
                <w:sz w:val="0"/>
                <w:szCs w:val="0"/>
                <w:lang w:val="uk-UA"/>
              </w:rPr>
              <w:t>Х</w:t>
            </w:r>
            <w:r>
              <w:rPr>
                <w:rFonts w:ascii="SimSun" w:hAnsi="SimSun" w:eastAsia="SimSun" w:cs="SimSun"/>
                <w:sz w:val="0"/>
                <w:szCs w:val="0"/>
                <w:lang w:val="uk-UA"/>
              </w:rPr>
              <w:br w:type="textWrapping"/>
            </w:r>
            <w:r>
              <w:rPr>
                <w:rFonts w:eastAsia="Calibri"/>
                <w:bCs/>
                <w:lang w:eastAsia="zh-CN"/>
              </w:rPr>
              <w:t>вул. Дмитрівська, 26</w:t>
            </w:r>
            <w:r>
              <w:rPr>
                <w:rFonts w:eastAsia="Calibri"/>
                <w:bCs/>
                <w:lang w:val="uk-UA" w:eastAsia="zh-CN"/>
              </w:rPr>
              <w:t>;</w:t>
            </w:r>
          </w:p>
          <w:p>
            <w:pPr>
              <w:pStyle w:val="5"/>
              <w:widowControl w:val="0"/>
              <w:snapToGrid w:val="0"/>
              <w:spacing w:line="300" w:lineRule="auto"/>
              <w:jc w:val="center"/>
              <w:rPr>
                <w:lang w:val="uk-UA"/>
              </w:rPr>
            </w:pPr>
            <w:r>
              <w:rPr>
                <w:rFonts w:eastAsia="Calibri"/>
                <w:bCs/>
                <w:lang w:val="uk-UA" w:eastAsia="zh-CN"/>
              </w:rPr>
              <w:t>пров. Рубанівський буд. 1.</w:t>
            </w:r>
          </w:p>
        </w:tc>
        <w:tc>
          <w:tcPr>
            <w:tcW w:w="1497" w:type="pct"/>
            <w:shd w:val="clear" w:color="auto" w:fill="auto"/>
            <w:vAlign w:val="center"/>
          </w:tcPr>
          <w:p>
            <w:pPr>
              <w:snapToGrid w:val="0"/>
              <w:jc w:val="center"/>
              <w:rPr>
                <w:bCs/>
                <w:sz w:val="22"/>
                <w:szCs w:val="22"/>
                <w:lang w:val="uk-UA"/>
              </w:rPr>
            </w:pPr>
            <w:r>
              <w:rPr>
                <w:bCs/>
                <w:sz w:val="22"/>
                <w:szCs w:val="22"/>
                <w:lang w:val="uk-UA"/>
              </w:rPr>
              <w:t>62Z4827386479365</w:t>
            </w:r>
          </w:p>
          <w:p>
            <w:pPr>
              <w:snapToGrid w:val="0"/>
              <w:jc w:val="center"/>
              <w:rPr>
                <w:bCs/>
                <w:sz w:val="22"/>
                <w:szCs w:val="22"/>
                <w:lang w:val="uk-UA"/>
              </w:rPr>
            </w:pPr>
            <w:r>
              <w:rPr>
                <w:bCs/>
                <w:sz w:val="22"/>
                <w:szCs w:val="22"/>
                <w:lang w:val="uk-UA"/>
              </w:rPr>
              <w:t>62Z7285461149054</w:t>
            </w:r>
          </w:p>
          <w:p>
            <w:pPr>
              <w:snapToGrid w:val="0"/>
              <w:jc w:val="center"/>
              <w:rPr>
                <w:bCs/>
                <w:sz w:val="22"/>
                <w:szCs w:val="22"/>
                <w:lang w:val="uk-UA"/>
              </w:rPr>
            </w:pPr>
            <w:r>
              <w:rPr>
                <w:bCs/>
                <w:sz w:val="22"/>
                <w:szCs w:val="22"/>
                <w:lang w:val="uk-UA"/>
              </w:rPr>
              <w:t>62Z8336384352170</w:t>
            </w:r>
          </w:p>
          <w:p>
            <w:pPr>
              <w:snapToGrid w:val="0"/>
              <w:jc w:val="center"/>
              <w:rPr>
                <w:bCs/>
                <w:sz w:val="22"/>
                <w:szCs w:val="22"/>
                <w:lang w:val="uk-UA"/>
              </w:rPr>
            </w:pPr>
            <w:r>
              <w:rPr>
                <w:bCs/>
                <w:sz w:val="22"/>
                <w:szCs w:val="22"/>
                <w:lang w:val="uk-UA"/>
              </w:rPr>
              <w:t>62Z1926246666908</w:t>
            </w:r>
          </w:p>
          <w:p>
            <w:pPr>
              <w:widowControl w:val="0"/>
              <w:spacing w:line="360" w:lineRule="auto"/>
              <w:ind w:left="20"/>
              <w:jc w:val="center"/>
              <w:rPr>
                <w:lang w:val="uk-UA" w:eastAsia="uk-UA"/>
              </w:rPr>
            </w:pPr>
            <w:r>
              <w:rPr>
                <w:bCs/>
                <w:sz w:val="22"/>
                <w:szCs w:val="22"/>
                <w:lang w:val="uk-UA"/>
              </w:rPr>
              <w:t>62Z2348857968653</w:t>
            </w:r>
          </w:p>
        </w:tc>
      </w:tr>
    </w:tbl>
    <w:p>
      <w:pPr>
        <w:tabs>
          <w:tab w:val="left" w:pos="993"/>
          <w:tab w:val="left" w:pos="1560"/>
        </w:tabs>
        <w:rPr>
          <w:b/>
          <w:lang w:val="uk-UA"/>
        </w:rPr>
      </w:pPr>
    </w:p>
    <w:p>
      <w:pPr>
        <w:pStyle w:val="7"/>
        <w:tabs>
          <w:tab w:val="left" w:pos="1276"/>
        </w:tabs>
        <w:ind w:left="0"/>
        <w:jc w:val="both"/>
        <w:rPr>
          <w:rFonts w:eastAsia="Times New Roman"/>
          <w:b/>
          <w:color w:val="000000"/>
          <w:sz w:val="24"/>
          <w:szCs w:val="24"/>
          <w:lang w:val="uk-UA" w:eastAsia="ru-RU"/>
        </w:rPr>
      </w:pPr>
      <w:r>
        <w:rPr>
          <w:rFonts w:eastAsia="Times New Roman"/>
          <w:color w:val="000000"/>
          <w:sz w:val="24"/>
          <w:szCs w:val="24"/>
          <w:lang w:val="uk-UA" w:eastAsia="ru-RU"/>
        </w:rPr>
        <w:tab/>
      </w:r>
      <w:r>
        <w:rPr>
          <w:rFonts w:eastAsia="Times New Roman"/>
          <w:b/>
          <w:color w:val="000000"/>
          <w:sz w:val="24"/>
          <w:szCs w:val="24"/>
          <w:lang w:val="uk-UA" w:eastAsia="ru-RU"/>
        </w:rPr>
        <w:t>Послуги з розподілу електричної енергії сплачуються 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Замовником. До ціни пропозиції учасник не включає послуги з розподілу електричної енергії.</w:t>
      </w:r>
    </w:p>
    <w:p>
      <w:pPr>
        <w:pStyle w:val="7"/>
        <w:tabs>
          <w:tab w:val="left" w:pos="1276"/>
        </w:tabs>
        <w:ind w:left="0"/>
        <w:jc w:val="both"/>
        <w:rPr>
          <w:iCs/>
          <w:color w:val="000000"/>
          <w:sz w:val="24"/>
          <w:szCs w:val="24"/>
          <w:u w:val="single"/>
          <w:shd w:val="clear" w:color="auto" w:fill="FFFFFF"/>
          <w:lang w:val="uk-UA" w:eastAsia="uk-UA" w:bidi="uk-UA"/>
        </w:rPr>
      </w:pPr>
      <w:r>
        <w:rPr>
          <w:iCs/>
          <w:color w:val="000000"/>
          <w:sz w:val="24"/>
          <w:szCs w:val="24"/>
          <w:u w:val="single"/>
          <w:shd w:val="clear" w:color="auto" w:fill="FFFFFF"/>
          <w:lang w:val="uk-UA" w:eastAsia="uk-UA" w:bidi="uk-UA"/>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Pr>
          <w:i/>
          <w:iCs/>
          <w:color w:val="000000"/>
          <w:sz w:val="24"/>
          <w:szCs w:val="24"/>
          <w:u w:val="single"/>
          <w:shd w:val="clear" w:color="auto" w:fill="FFFFFF"/>
          <w:lang w:val="uk-UA" w:eastAsia="uk-UA" w:bidi="uk-UA"/>
        </w:rPr>
        <w:t>актів приймання-передачі</w:t>
      </w:r>
      <w:r>
        <w:rPr>
          <w:iCs/>
          <w:color w:val="000000"/>
          <w:sz w:val="24"/>
          <w:szCs w:val="24"/>
          <w:u w:val="single"/>
          <w:shd w:val="clear" w:color="auto" w:fill="FFFFFF"/>
          <w:lang w:val="uk-UA" w:eastAsia="uk-UA" w:bidi="uk-UA"/>
        </w:rPr>
        <w:t xml:space="preserve">.  </w:t>
      </w:r>
    </w:p>
    <w:p>
      <w:pPr>
        <w:spacing w:before="240" w:after="240"/>
        <w:ind w:firstLine="720"/>
        <w:contextualSpacing/>
        <w:jc w:val="both"/>
        <w:rPr>
          <w:sz w:val="20"/>
          <w:szCs w:val="20"/>
          <w:lang w:val="uk-UA"/>
        </w:rPr>
      </w:pPr>
      <w:r>
        <w:rPr>
          <w:sz w:val="20"/>
          <w:szCs w:val="20"/>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pPr>
        <w:ind w:firstLine="720"/>
        <w:contextualSpacing/>
        <w:jc w:val="both"/>
        <w:rPr>
          <w:i/>
          <w:iCs/>
          <w:sz w:val="20"/>
          <w:szCs w:val="20"/>
          <w:lang w:val="uk-UA"/>
        </w:rPr>
      </w:pPr>
      <w:r>
        <w:rPr>
          <w:i/>
          <w:iCs/>
          <w:sz w:val="20"/>
          <w:szCs w:val="20"/>
          <w:shd w:val="clear" w:color="auto" w:fill="FFFFFF"/>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pPr>
        <w:ind w:firstLine="708"/>
        <w:contextualSpacing/>
        <w:jc w:val="both"/>
        <w:rPr>
          <w:i/>
          <w:iCs/>
          <w:sz w:val="20"/>
          <w:szCs w:val="20"/>
          <w:shd w:val="clear" w:color="auto" w:fill="FFFFFF"/>
          <w:lang w:val="uk-UA"/>
        </w:rPr>
      </w:pPr>
      <w:r>
        <w:rPr>
          <w:i/>
          <w:iCs/>
          <w:sz w:val="20"/>
          <w:szCs w:val="20"/>
          <w:shd w:val="clear" w:color="auto" w:fill="FFFFFF"/>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pPr>
        <w:ind w:firstLine="708"/>
        <w:contextualSpacing/>
        <w:jc w:val="both"/>
        <w:rPr>
          <w:i/>
          <w:iCs/>
          <w:sz w:val="20"/>
          <w:szCs w:val="20"/>
          <w:shd w:val="clear" w:color="auto" w:fill="FFFFFF"/>
          <w:lang w:val="uk-UA"/>
        </w:rPr>
      </w:pPr>
      <w:r>
        <w:rPr>
          <w:sz w:val="20"/>
          <w:szCs w:val="20"/>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Microsoft YaHei">
    <w:panose1 w:val="020B0503020204020204"/>
    <w:charset w:val="86"/>
    <w:family w:val="swiss"/>
    <w:pitch w:val="default"/>
    <w:sig w:usb0="80000287" w:usb1="2ACF3C50" w:usb2="00000016" w:usb3="00000000" w:csb0="0004001F" w:csb1="00000000"/>
  </w:font>
  <w:font w:name="Tahoma">
    <w:panose1 w:val="020B0604030504040204"/>
    <w:charset w:val="CC"/>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compat>
    <w:doNotExpandShiftReturn/>
    <w:doNotUseIndentAsNumberingTabStop/>
    <w:compatSetting w:name="compatibilityMode" w:uri="http://schemas.microsoft.com/office/word" w:val="12"/>
  </w:compat>
  <w:rsids>
    <w:rsidRoot w:val="00164381"/>
    <w:rsid w:val="00043591"/>
    <w:rsid w:val="00092739"/>
    <w:rsid w:val="00164381"/>
    <w:rsid w:val="00290CEC"/>
    <w:rsid w:val="00412D51"/>
    <w:rsid w:val="0070000A"/>
    <w:rsid w:val="00901004"/>
    <w:rsid w:val="00930588"/>
    <w:rsid w:val="00A8788D"/>
    <w:rsid w:val="00AC58A0"/>
    <w:rsid w:val="00C94D78"/>
    <w:rsid w:val="190D5398"/>
    <w:rsid w:val="28FB5D74"/>
    <w:rsid w:val="533D18AB"/>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Indent 2"/>
    <w:basedOn w:val="1"/>
    <w:link w:val="9"/>
    <w:qFormat/>
    <w:uiPriority w:val="0"/>
    <w:pPr>
      <w:spacing w:after="120" w:line="480" w:lineRule="auto"/>
      <w:ind w:left="283"/>
    </w:pPr>
  </w:style>
  <w:style w:type="paragraph" w:styleId="5">
    <w:name w:val="Normal (Web)"/>
    <w:basedOn w:val="1"/>
    <w:unhideWhenUsed/>
    <w:uiPriority w:val="99"/>
  </w:style>
  <w:style w:type="character" w:customStyle="1" w:styleId="6">
    <w:name w:val="rvts0"/>
    <w:basedOn w:val="2"/>
    <w:uiPriority w:val="0"/>
  </w:style>
  <w:style w:type="paragraph" w:styleId="7">
    <w:name w:val="List Paragraph"/>
    <w:basedOn w:val="1"/>
    <w:link w:val="8"/>
    <w:qFormat/>
    <w:uiPriority w:val="34"/>
    <w:pPr>
      <w:spacing w:after="200" w:line="276" w:lineRule="auto"/>
      <w:ind w:left="720"/>
      <w:contextualSpacing/>
    </w:pPr>
    <w:rPr>
      <w:rFonts w:eastAsia="Calibri"/>
      <w:sz w:val="22"/>
      <w:szCs w:val="22"/>
      <w:lang w:val="zh-CN" w:eastAsia="en-US"/>
    </w:rPr>
  </w:style>
  <w:style w:type="character" w:customStyle="1" w:styleId="8">
    <w:name w:val="Абзац списка Знак"/>
    <w:link w:val="7"/>
    <w:qFormat/>
    <w:locked/>
    <w:uiPriority w:val="34"/>
    <w:rPr>
      <w:rFonts w:ascii="Times New Roman" w:hAnsi="Times New Roman" w:eastAsia="Calibri" w:cs="Times New Roman"/>
      <w:lang w:val="zh-CN"/>
    </w:rPr>
  </w:style>
  <w:style w:type="character" w:customStyle="1" w:styleId="9">
    <w:name w:val="Основной текст с отступом 2 Знак"/>
    <w:basedOn w:val="2"/>
    <w:link w:val="4"/>
    <w:uiPriority w:val="0"/>
    <w:rPr>
      <w:rFonts w:ascii="Times New Roman" w:hAnsi="Times New Roman" w:eastAsia="Times New Roman" w:cs="Times New Roman"/>
      <w:sz w:val="24"/>
      <w:szCs w:val="24"/>
      <w:lang w:eastAsia="ru-RU"/>
    </w:rPr>
  </w:style>
  <w:style w:type="table" w:customStyle="1" w:styleId="10">
    <w:name w:val="Обычная таблица1"/>
    <w:semiHidden/>
    <w:qFormat/>
    <w:uiPriority w:val="0"/>
    <w:rPr>
      <w:rFonts w:ascii="Calibri" w:hAnsi="Calibri" w:eastAsia="Times New Roman"/>
      <w:sz w:val="22"/>
      <w:szCs w:val="22"/>
    </w:rPr>
    <w:tblPr>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785</Words>
  <Characters>4480</Characters>
  <Lines>37</Lines>
  <Paragraphs>10</Paragraphs>
  <TotalTime>4</TotalTime>
  <ScaleCrop>false</ScaleCrop>
  <LinksUpToDate>false</LinksUpToDate>
  <CharactersWithSpaces>5255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2023-05-12T16:05:00Z</dcterms:created>
  <dc:creator>Admin</dc:creator>
  <cp:lastModifiedBy>SIDH-MISTIK</cp:lastModifiedBy>
  <dcterms:modified xsi:type="dcterms:W3CDTF">2023-05-13T18:42:53Z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7909B83A45244808A3A512740BF75E6C</vt:lpwstr>
  </property>
</Properties>
</file>