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03B59D39"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0438B8">
        <w:rPr>
          <w:rFonts w:ascii="Times New Roman" w:hAnsi="Times New Roman"/>
          <w:b/>
          <w:sz w:val="24"/>
          <w:szCs w:val="24"/>
          <w:lang w:val="uk-UA"/>
        </w:rPr>
        <w:t>4</w:t>
      </w:r>
      <w:bookmarkStart w:id="0" w:name="_GoBack"/>
      <w:bookmarkEnd w:id="0"/>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C572AEE" w:rsidR="001D6102" w:rsidRPr="00E2358B" w:rsidRDefault="006A7006" w:rsidP="001D6102">
      <w:pPr>
        <w:pStyle w:val="HTML"/>
        <w:ind w:firstLine="540"/>
        <w:jc w:val="both"/>
        <w:rPr>
          <w:rFonts w:ascii="Times New Roman" w:hAnsi="Times New Roman"/>
          <w:b/>
          <w:sz w:val="24"/>
          <w:szCs w:val="24"/>
          <w:lang w:val="uk-UA"/>
        </w:rPr>
      </w:pPr>
      <w:bookmarkStart w:id="1" w:name="_Hlk122433375"/>
      <w:r w:rsidRPr="006A7006">
        <w:rPr>
          <w:rFonts w:ascii="Times New Roman" w:hAnsi="Times New Roman"/>
          <w:sz w:val="24"/>
          <w:szCs w:val="24"/>
          <w:lang w:val="uk-UA" w:eastAsia="en-US"/>
        </w:rPr>
        <w:t>КОМУНАЛЬНЕ НЕКОМЕРЦІЙНЕ ПІДПРИЄМСТВО «ДИТЯЧА МІСЬКА ПОЛІКЛІНІКА № 6» ОДЕСЬКОЇ МІСЬКОЇ РАДИ</w:t>
      </w:r>
      <w:bookmarkEnd w:id="1"/>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r>
        <w:rPr>
          <w:rFonts w:ascii="Times New Roman" w:hAnsi="Times New Roman"/>
          <w:sz w:val="24"/>
          <w:szCs w:val="24"/>
          <w:lang w:val="uk-UA"/>
        </w:rPr>
        <w:t>Горіщака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3242B1E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506DC4">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BA3A999" w14:textId="64219505" w:rsidR="006A7006" w:rsidRPr="00506DC4" w:rsidRDefault="002830AA" w:rsidP="006A7006">
      <w:pPr>
        <w:spacing w:after="0" w:line="240" w:lineRule="auto"/>
        <w:jc w:val="both"/>
        <w:rPr>
          <w:rFonts w:ascii="Times New Roman" w:eastAsia="MS Mincho" w:hAnsi="Times New Roman"/>
          <w:b/>
          <w:iCs/>
          <w:sz w:val="24"/>
          <w:szCs w:val="24"/>
          <w:lang w:val="uk-UA" w:eastAsia="ru-RU"/>
        </w:rPr>
      </w:pPr>
      <w:r w:rsidRPr="00E2358B">
        <w:rPr>
          <w:rFonts w:ascii="Times New Roman" w:hAnsi="Times New Roman"/>
          <w:sz w:val="24"/>
          <w:szCs w:val="24"/>
          <w:lang w:val="uk-UA"/>
        </w:rPr>
        <w:t xml:space="preserve">1.2. Найменування Товару: </w:t>
      </w:r>
      <w:r w:rsidR="00506DC4" w:rsidRPr="00506DC4">
        <w:rPr>
          <w:rFonts w:ascii="Times New Roman" w:hAnsi="Times New Roman"/>
          <w:sz w:val="24"/>
          <w:szCs w:val="24"/>
          <w:shd w:val="clear" w:color="auto" w:fill="F5F5F5"/>
        </w:rPr>
        <w:t>33140000-3 Медичні матеріали</w:t>
      </w:r>
      <w:r w:rsidR="00506DC4" w:rsidRPr="00506DC4">
        <w:rPr>
          <w:rFonts w:ascii="Times New Roman" w:hAnsi="Times New Roman"/>
          <w:sz w:val="24"/>
          <w:szCs w:val="24"/>
          <w:lang w:val="uk-UA"/>
        </w:rPr>
        <w:t xml:space="preserve"> </w:t>
      </w:r>
      <w:r w:rsidR="00A426E3" w:rsidRPr="00506DC4">
        <w:rPr>
          <w:rFonts w:ascii="Times New Roman" w:hAnsi="Times New Roman"/>
          <w:sz w:val="24"/>
          <w:szCs w:val="24"/>
          <w:lang w:val="uk-UA"/>
        </w:rPr>
        <w:t>(</w:t>
      </w:r>
      <w:r w:rsidR="00506DC4" w:rsidRPr="00506DC4">
        <w:rPr>
          <w:rStyle w:val="docdata"/>
          <w:rFonts w:ascii="Times New Roman" w:hAnsi="Times New Roman"/>
          <w:sz w:val="24"/>
          <w:szCs w:val="24"/>
          <w:lang w:val="uk-UA"/>
        </w:rPr>
        <w:t>Ланцет (скарифікатор)</w:t>
      </w:r>
    </w:p>
    <w:p w14:paraId="27F32FD5" w14:textId="76477DC2" w:rsidR="002830AA" w:rsidRPr="00A70583" w:rsidRDefault="002830AA" w:rsidP="006A7006">
      <w:pPr>
        <w:pStyle w:val="af1"/>
        <w:ind w:firstLine="426"/>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2"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lastRenderedPageBreak/>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(акта)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3" w:name="bookmark4"/>
      <w:r w:rsidRPr="00077B07">
        <w:rPr>
          <w:sz w:val="24"/>
          <w:szCs w:val="24"/>
          <w:lang w:val="uk-UA"/>
        </w:rPr>
        <w:t>V.СТРОКИ ТА УМОВИ ПЕРЕДАЧІ ТОВАРУ</w:t>
      </w:r>
      <w:bookmarkEnd w:id="3"/>
    </w:p>
    <w:p w14:paraId="4AADAECA" w14:textId="31621A9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адресою: </w:t>
      </w:r>
      <w:r w:rsidR="00B121A1" w:rsidRPr="00C42EEE">
        <w:rPr>
          <w:rFonts w:ascii="Times New Roman" w:hAnsi="Times New Roman"/>
          <w:sz w:val="24"/>
          <w:szCs w:val="24"/>
        </w:rPr>
        <w:t>65022, Одеська обл., місто Одеса, пр. Академіка Глушка 32-А.</w:t>
      </w:r>
    </w:p>
    <w:p w14:paraId="041765C9" w14:textId="20F94C2B"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506DC4">
        <w:rPr>
          <w:rFonts w:ascii="Times New Roman" w:hAnsi="Times New Roman"/>
          <w:sz w:val="24"/>
          <w:szCs w:val="24"/>
          <w:lang w:val="uk-UA"/>
        </w:rPr>
        <w:t>протягом</w:t>
      </w:r>
      <w:r w:rsidR="00077B07" w:rsidRPr="006B7404">
        <w:rPr>
          <w:rFonts w:ascii="Times New Roman" w:hAnsi="Times New Roman"/>
          <w:sz w:val="24"/>
          <w:szCs w:val="24"/>
          <w:lang w:val="uk-UA"/>
        </w:rPr>
        <w:t>.</w:t>
      </w:r>
      <w:r w:rsidR="00506DC4">
        <w:rPr>
          <w:rFonts w:ascii="Times New Roman" w:hAnsi="Times New Roman"/>
          <w:sz w:val="24"/>
          <w:szCs w:val="24"/>
          <w:lang w:val="uk-UA"/>
        </w:rPr>
        <w:t>2024року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2"/>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4" w:name="bookmark6"/>
      <w:r w:rsidRPr="00E2358B">
        <w:rPr>
          <w:bCs w:val="0"/>
          <w:sz w:val="24"/>
          <w:szCs w:val="24"/>
          <w:lang w:val="uk-UA"/>
        </w:rPr>
        <w:t>VII.ПОРЯДОК ПРИЙМАННЯ ТОВАРУ</w:t>
      </w:r>
      <w:bookmarkEnd w:id="4"/>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акта</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w:t>
      </w:r>
      <w:r w:rsidRPr="00E2358B">
        <w:rPr>
          <w:rFonts w:ascii="Times New Roman" w:hAnsi="Times New Roman"/>
          <w:sz w:val="24"/>
          <w:szCs w:val="24"/>
          <w:lang w:val="uk-UA"/>
        </w:rPr>
        <w:lastRenderedPageBreak/>
        <w:t>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5" w:name="bookmark8"/>
      <w:r w:rsidRPr="00E2358B">
        <w:rPr>
          <w:sz w:val="24"/>
          <w:szCs w:val="24"/>
          <w:lang w:val="uk-UA"/>
        </w:rPr>
        <w:t>VIII.ПРАВА ТА ОБОВ’ЯЗКИ СТОРІН</w:t>
      </w:r>
      <w:bookmarkEnd w:id="5"/>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w:t>
      </w:r>
      <w:r w:rsidRPr="00E2358B">
        <w:rPr>
          <w:rFonts w:ascii="Times New Roman" w:hAnsi="Times New Roman"/>
          <w:sz w:val="24"/>
          <w:szCs w:val="24"/>
          <w:lang w:val="uk-UA"/>
        </w:rPr>
        <w:lastRenderedPageBreak/>
        <w:t>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w:t>
      </w:r>
      <w:r w:rsidRPr="00E2358B">
        <w:rPr>
          <w:rFonts w:ascii="Times New Roman" w:eastAsia="Calibri" w:hAnsi="Times New Roman"/>
          <w:sz w:val="24"/>
          <w:szCs w:val="24"/>
          <w:lang w:val="uk-UA"/>
        </w:rPr>
        <w:lastRenderedPageBreak/>
        <w:t>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2C2E7F2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506DC4">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w:t>
      </w:r>
      <w:r w:rsidRPr="00E2358B">
        <w:rPr>
          <w:rFonts w:ascii="Times New Roman" w:hAnsi="Times New Roman"/>
          <w:sz w:val="24"/>
          <w:szCs w:val="24"/>
          <w:lang w:val="uk-UA"/>
        </w:rPr>
        <w:lastRenderedPageBreak/>
        <w:t>додатково не вирішать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3934F7C0" w14:textId="72E0ED00" w:rsidR="00F5727B" w:rsidRPr="00F5727B" w:rsidRDefault="008413E3" w:rsidP="00F5727B">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6B4F04AD" w14:textId="188810FA"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r w:rsidR="008413E3" w:rsidRPr="008413E3">
              <w:rPr>
                <w:rFonts w:ascii="Times New Roman" w:eastAsia="Times New Roman" w:hAnsi="Times New Roman"/>
                <w:sz w:val="24"/>
                <w:szCs w:val="24"/>
                <w:lang w:val="uk-UA"/>
              </w:rPr>
              <w:t>odgpol6@gmail.com</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33B6C80"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2B689D">
              <w:rPr>
                <w:rFonts w:ascii="Times New Roman" w:eastAsia="Times New Roman" w:hAnsi="Times New Roman"/>
                <w:color w:val="000000"/>
                <w:sz w:val="24"/>
                <w:szCs w:val="24"/>
                <w:lang w:val="uk-UA" w:eastAsia="ru-RU"/>
              </w:rPr>
              <w:t>Сергій ГОРІЩАК</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1B319D3C"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506DC4">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399"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80"/>
        <w:gridCol w:w="3374"/>
        <w:gridCol w:w="1559"/>
        <w:gridCol w:w="1133"/>
        <w:gridCol w:w="846"/>
        <w:gridCol w:w="1331"/>
        <w:gridCol w:w="807"/>
        <w:gridCol w:w="730"/>
        <w:gridCol w:w="35"/>
      </w:tblGrid>
      <w:tr w:rsidR="001D6102" w:rsidRPr="00E2358B" w14:paraId="278070CA" w14:textId="77777777" w:rsidTr="00506DC4">
        <w:trPr>
          <w:gridAfter w:val="1"/>
          <w:wAfter w:w="16" w:type="pct"/>
          <w:cantSplit/>
          <w:trHeight w:hRule="exact" w:val="1204"/>
        </w:trPr>
        <w:tc>
          <w:tcPr>
            <w:tcW w:w="279"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623"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750" w:type="pct"/>
            <w:shd w:val="clear" w:color="auto" w:fill="auto"/>
            <w:vAlign w:val="center"/>
          </w:tcPr>
          <w:p w14:paraId="216972B6" w14:textId="77777777" w:rsidR="001D6102" w:rsidRPr="00B52A51" w:rsidRDefault="00AF71B8" w:rsidP="00AF71B8">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Виробник, к</w:t>
            </w:r>
            <w:r w:rsidR="001D6102" w:rsidRPr="00B52A51">
              <w:rPr>
                <w:rFonts w:ascii="Times New Roman" w:hAnsi="Times New Roman"/>
                <w:b/>
                <w:sz w:val="24"/>
                <w:szCs w:val="24"/>
                <w:lang w:val="uk-UA"/>
              </w:rPr>
              <w:t xml:space="preserve">раїна </w:t>
            </w:r>
            <w:r w:rsidRPr="00B52A51">
              <w:rPr>
                <w:rFonts w:ascii="Times New Roman" w:hAnsi="Times New Roman"/>
                <w:b/>
                <w:sz w:val="24"/>
                <w:szCs w:val="24"/>
                <w:lang w:val="uk-UA"/>
              </w:rPr>
              <w:t>походження</w:t>
            </w:r>
          </w:p>
        </w:tc>
        <w:tc>
          <w:tcPr>
            <w:tcW w:w="545" w:type="pct"/>
            <w:shd w:val="clear" w:color="auto" w:fill="auto"/>
            <w:tcMar>
              <w:left w:w="98" w:type="dxa"/>
            </w:tcMar>
            <w:vAlign w:val="center"/>
          </w:tcPr>
          <w:p w14:paraId="656269E3" w14:textId="0D466C32" w:rsidR="001D6102" w:rsidRPr="00B52A51" w:rsidRDefault="001D6102" w:rsidP="00506DC4">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 xml:space="preserve">Од </w:t>
            </w:r>
            <w:r w:rsidR="00506DC4">
              <w:rPr>
                <w:rFonts w:ascii="Times New Roman" w:hAnsi="Times New Roman"/>
                <w:b/>
                <w:sz w:val="24"/>
                <w:szCs w:val="24"/>
                <w:lang w:val="uk-UA"/>
              </w:rPr>
              <w:t xml:space="preserve"> виміру</w:t>
            </w:r>
          </w:p>
        </w:tc>
        <w:tc>
          <w:tcPr>
            <w:tcW w:w="407" w:type="pct"/>
            <w:shd w:val="clear" w:color="auto" w:fill="auto"/>
            <w:vAlign w:val="center"/>
          </w:tcPr>
          <w:p w14:paraId="0B850508" w14:textId="17980BB2" w:rsidR="001D6102" w:rsidRPr="00B52A51" w:rsidRDefault="001D6102" w:rsidP="00506DC4">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w:t>
            </w:r>
            <w:r w:rsidR="00506DC4">
              <w:rPr>
                <w:rFonts w:ascii="Times New Roman" w:hAnsi="Times New Roman"/>
                <w:b/>
                <w:sz w:val="24"/>
                <w:szCs w:val="24"/>
                <w:lang w:val="uk-UA"/>
              </w:rPr>
              <w:t>-</w:t>
            </w:r>
            <w:r w:rsidRPr="00B52A51">
              <w:rPr>
                <w:rFonts w:ascii="Times New Roman" w:hAnsi="Times New Roman"/>
                <w:b/>
                <w:sz w:val="24"/>
                <w:szCs w:val="24"/>
                <w:lang w:val="uk-UA"/>
              </w:rPr>
              <w:t>ть</w:t>
            </w:r>
          </w:p>
        </w:tc>
        <w:tc>
          <w:tcPr>
            <w:tcW w:w="640" w:type="pct"/>
            <w:shd w:val="clear" w:color="auto" w:fill="auto"/>
            <w:tcMar>
              <w:left w:w="98" w:type="dxa"/>
            </w:tcMar>
            <w:vAlign w:val="center"/>
          </w:tcPr>
          <w:p w14:paraId="091EB609" w14:textId="77777777" w:rsidR="001D6102" w:rsidRPr="00B52A51" w:rsidRDefault="001D6102" w:rsidP="001B2F1A">
            <w:pPr>
              <w:spacing w:after="0" w:line="240" w:lineRule="auto"/>
              <w:ind w:firstLine="360"/>
              <w:contextualSpacing/>
              <w:jc w:val="center"/>
              <w:rPr>
                <w:rFonts w:ascii="Times New Roman" w:hAnsi="Times New Roman"/>
                <w:b/>
                <w:sz w:val="24"/>
                <w:szCs w:val="24"/>
                <w:lang w:val="uk-UA"/>
              </w:rPr>
            </w:pPr>
            <w:r w:rsidRPr="00B52A51">
              <w:rPr>
                <w:rFonts w:ascii="Times New Roman" w:hAnsi="Times New Roman"/>
                <w:b/>
                <w:sz w:val="24"/>
                <w:szCs w:val="24"/>
                <w:lang w:val="uk-UA"/>
              </w:rPr>
              <w:t xml:space="preserve">Ціна за одиницю </w:t>
            </w:r>
            <w:r w:rsidR="00CC3516" w:rsidRPr="00B52A51">
              <w:rPr>
                <w:rFonts w:ascii="Times New Roman" w:hAnsi="Times New Roman"/>
                <w:b/>
                <w:sz w:val="24"/>
                <w:szCs w:val="24"/>
                <w:lang w:val="uk-UA"/>
              </w:rPr>
              <w:t>товару з/без ПДВ (грн</w:t>
            </w:r>
            <w:r w:rsidRPr="00B52A51">
              <w:rPr>
                <w:rFonts w:ascii="Times New Roman" w:hAnsi="Times New Roman"/>
                <w:b/>
                <w:sz w:val="24"/>
                <w:szCs w:val="24"/>
                <w:lang w:val="uk-UA"/>
              </w:rPr>
              <w:t>)</w:t>
            </w:r>
          </w:p>
        </w:tc>
        <w:tc>
          <w:tcPr>
            <w:tcW w:w="739"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Загальна вартість  з/без ПДВ (грн)</w:t>
            </w:r>
          </w:p>
        </w:tc>
      </w:tr>
      <w:tr w:rsidR="001D6102" w:rsidRPr="00506DC4" w14:paraId="3BF1F2D8" w14:textId="77777777" w:rsidTr="00506DC4">
        <w:trPr>
          <w:gridAfter w:val="1"/>
          <w:wAfter w:w="16" w:type="pct"/>
          <w:cantSplit/>
          <w:trHeight w:hRule="exact" w:val="3087"/>
        </w:trPr>
        <w:tc>
          <w:tcPr>
            <w:tcW w:w="279"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623" w:type="pct"/>
            <w:shd w:val="clear" w:color="auto" w:fill="auto"/>
            <w:tcMar>
              <w:left w:w="98" w:type="dxa"/>
            </w:tcMar>
            <w:vAlign w:val="center"/>
          </w:tcPr>
          <w:p w14:paraId="44242EEF" w14:textId="67BD0A4E" w:rsidR="001D6102" w:rsidRPr="00506DC4" w:rsidRDefault="00506DC4" w:rsidP="00506DC4">
            <w:pPr>
              <w:spacing w:after="0" w:line="240" w:lineRule="auto"/>
              <w:contextualSpacing/>
              <w:rPr>
                <w:rFonts w:ascii="Times New Roman" w:hAnsi="Times New Roman"/>
                <w:bCs/>
                <w:sz w:val="24"/>
                <w:szCs w:val="24"/>
                <w:lang w:val="uk-UA"/>
              </w:rPr>
            </w:pPr>
            <w:r w:rsidRPr="00506DC4">
              <w:rPr>
                <w:rStyle w:val="docdata"/>
                <w:rFonts w:ascii="Times New Roman" w:hAnsi="Times New Roman"/>
                <w:sz w:val="24"/>
                <w:szCs w:val="24"/>
                <w:lang w:val="uk-UA"/>
              </w:rPr>
              <w:t xml:space="preserve">Ланцет (скарифікатор) автоматичний </w:t>
            </w:r>
            <w:r w:rsidRPr="00506DC4">
              <w:rPr>
                <w:rFonts w:ascii="Times New Roman" w:hAnsi="Times New Roman"/>
                <w:sz w:val="24"/>
                <w:szCs w:val="24"/>
              </w:rPr>
              <w:t>Medlance plus Special</w:t>
            </w:r>
            <w:r w:rsidRPr="00506DC4">
              <w:rPr>
                <w:rFonts w:ascii="Times New Roman" w:hAnsi="Times New Roman"/>
                <w:sz w:val="24"/>
                <w:szCs w:val="24"/>
                <w:lang w:val="uk-UA"/>
              </w:rPr>
              <w:t>,</w:t>
            </w:r>
            <w:r>
              <w:rPr>
                <w:rFonts w:ascii="Times New Roman" w:hAnsi="Times New Roman"/>
                <w:sz w:val="24"/>
                <w:szCs w:val="24"/>
                <w:lang w:val="uk-UA"/>
              </w:rPr>
              <w:t>(</w:t>
            </w:r>
            <w:r w:rsidRPr="00506DC4">
              <w:rPr>
                <w:rFonts w:ascii="Segoe UI" w:hAnsi="Segoe UI" w:cs="Segoe UI"/>
                <w:color w:val="495060"/>
                <w:sz w:val="21"/>
                <w:szCs w:val="21"/>
                <w:shd w:val="clear" w:color="auto" w:fill="FFFFFF"/>
                <w:lang w:val="uk-UA"/>
              </w:rPr>
              <w:t xml:space="preserve"> </w:t>
            </w:r>
            <w:r w:rsidRPr="00506DC4">
              <w:rPr>
                <w:rFonts w:ascii="Segoe UI" w:hAnsi="Segoe UI" w:cs="Segoe UI"/>
                <w:sz w:val="21"/>
                <w:szCs w:val="21"/>
                <w:shd w:val="clear" w:color="auto" w:fill="FFFFFF"/>
                <w:lang w:val="uk-UA"/>
              </w:rPr>
              <w:t xml:space="preserve">Ланцети безпечні </w:t>
            </w:r>
            <w:r w:rsidRPr="00506DC4">
              <w:rPr>
                <w:rFonts w:ascii="Segoe UI" w:hAnsi="Segoe UI" w:cs="Segoe UI"/>
                <w:sz w:val="21"/>
                <w:szCs w:val="21"/>
                <w:shd w:val="clear" w:color="auto" w:fill="FFFFFF"/>
              </w:rPr>
              <w:t>MiniCollect</w:t>
            </w:r>
            <w:r w:rsidRPr="00506DC4">
              <w:rPr>
                <w:rFonts w:ascii="Segoe UI" w:hAnsi="Segoe UI" w:cs="Segoe UI"/>
                <w:sz w:val="21"/>
                <w:szCs w:val="21"/>
                <w:shd w:val="clear" w:color="auto" w:fill="FFFFFF"/>
                <w:lang w:val="uk-UA"/>
              </w:rPr>
              <w:t xml:space="preserve"> </w:t>
            </w:r>
            <w:r w:rsidRPr="00506DC4">
              <w:rPr>
                <w:rFonts w:ascii="Segoe UI" w:hAnsi="Segoe UI" w:cs="Segoe UI"/>
                <w:sz w:val="21"/>
                <w:szCs w:val="21"/>
                <w:shd w:val="clear" w:color="auto" w:fill="FFFFFF"/>
              </w:rPr>
              <w:t>Lancelino</w:t>
            </w:r>
            <w:r w:rsidRPr="00506DC4">
              <w:rPr>
                <w:rFonts w:ascii="Segoe UI" w:hAnsi="Segoe UI" w:cs="Segoe UI"/>
                <w:sz w:val="21"/>
                <w:szCs w:val="21"/>
                <w:shd w:val="clear" w:color="auto" w:fill="FFFFFF"/>
                <w:lang w:val="uk-UA"/>
              </w:rPr>
              <w:t xml:space="preserve"> глибина проколу 2.00 мм, жовті, стерильні, для збору капілярної крові з лезом, шириною </w:t>
            </w:r>
            <w:r w:rsidRPr="00506DC4">
              <w:rPr>
                <w:rFonts w:ascii="Segoe UI" w:hAnsi="Segoe UI" w:cs="Segoe UI"/>
                <w:sz w:val="21"/>
                <w:szCs w:val="21"/>
                <w:shd w:val="clear" w:color="auto" w:fill="FFFFFF"/>
              </w:rPr>
              <w:t>0,8 мм</w:t>
            </w:r>
            <w:r w:rsidRPr="00506DC4">
              <w:rPr>
                <w:rFonts w:ascii="Segoe UI" w:hAnsi="Segoe UI" w:cs="Segoe UI"/>
                <w:sz w:val="21"/>
                <w:szCs w:val="21"/>
                <w:shd w:val="clear" w:color="auto" w:fill="FFFFFF"/>
                <w:lang w:val="uk-UA"/>
              </w:rPr>
              <w:t>)</w:t>
            </w:r>
          </w:p>
        </w:tc>
        <w:tc>
          <w:tcPr>
            <w:tcW w:w="750"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545" w:type="pct"/>
            <w:shd w:val="clear" w:color="auto" w:fill="auto"/>
            <w:tcMar>
              <w:left w:w="98" w:type="dxa"/>
            </w:tcMar>
            <w:vAlign w:val="center"/>
          </w:tcPr>
          <w:p w14:paraId="3E935E3D" w14:textId="350003FC" w:rsidR="001D6102" w:rsidRPr="00E2358B" w:rsidRDefault="00506DC4"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шт</w:t>
            </w:r>
          </w:p>
        </w:tc>
        <w:tc>
          <w:tcPr>
            <w:tcW w:w="407" w:type="pct"/>
            <w:shd w:val="clear" w:color="auto" w:fill="auto"/>
            <w:vAlign w:val="center"/>
          </w:tcPr>
          <w:p w14:paraId="36932533" w14:textId="455FB8FE" w:rsidR="001D6102" w:rsidRPr="00E2358B" w:rsidRDefault="00506DC4"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16000</w:t>
            </w:r>
          </w:p>
        </w:tc>
        <w:tc>
          <w:tcPr>
            <w:tcW w:w="640"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39"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FD230A">
        <w:trPr>
          <w:trHeight w:val="329"/>
        </w:trPr>
        <w:tc>
          <w:tcPr>
            <w:tcW w:w="4632"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68" w:type="pct"/>
            <w:gridSpan w:val="2"/>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FD230A">
        <w:trPr>
          <w:trHeight w:val="237"/>
        </w:trPr>
        <w:tc>
          <w:tcPr>
            <w:tcW w:w="4632"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68" w:type="pct"/>
            <w:gridSpan w:val="2"/>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FD230A">
        <w:trPr>
          <w:trHeight w:val="234"/>
        </w:trPr>
        <w:tc>
          <w:tcPr>
            <w:tcW w:w="4632"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68" w:type="pct"/>
            <w:gridSpan w:val="2"/>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0334AFF8"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174F68A1"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r w:rsidRPr="008413E3">
              <w:rPr>
                <w:rFonts w:ascii="Times New Roman" w:eastAsia="Times New Roman" w:hAnsi="Times New Roman"/>
                <w:sz w:val="24"/>
                <w:szCs w:val="24"/>
                <w:lang w:val="uk-UA"/>
              </w:rPr>
              <w:t>odgpol6@gmail.com</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Сергій ГОРІЩАК</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EAA1" w14:textId="77777777" w:rsidR="00C64595" w:rsidRDefault="00C64595" w:rsidP="001B2F1A">
      <w:pPr>
        <w:spacing w:after="0" w:line="240" w:lineRule="auto"/>
      </w:pPr>
      <w:r>
        <w:separator/>
      </w:r>
    </w:p>
  </w:endnote>
  <w:endnote w:type="continuationSeparator" w:id="0">
    <w:p w14:paraId="725DACA1" w14:textId="77777777" w:rsidR="00C64595" w:rsidRDefault="00C64595"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046C06EC" w:rsidR="00EB1EA9" w:rsidRDefault="007D3349">
        <w:pPr>
          <w:pStyle w:val="af9"/>
          <w:jc w:val="right"/>
        </w:pPr>
        <w:r>
          <w:fldChar w:fldCharType="begin"/>
        </w:r>
        <w:r w:rsidR="00EB1EA9">
          <w:instrText>PAGE   \* MERGEFORMAT</w:instrText>
        </w:r>
        <w:r>
          <w:fldChar w:fldCharType="separate"/>
        </w:r>
        <w:r w:rsidR="000438B8">
          <w:rPr>
            <w:noProof/>
          </w:rPr>
          <w:t>1</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F1FEC" w14:textId="77777777" w:rsidR="00C64595" w:rsidRDefault="00C64595" w:rsidP="001B2F1A">
      <w:pPr>
        <w:spacing w:after="0" w:line="240" w:lineRule="auto"/>
      </w:pPr>
      <w:r>
        <w:separator/>
      </w:r>
    </w:p>
  </w:footnote>
  <w:footnote w:type="continuationSeparator" w:id="0">
    <w:p w14:paraId="41F67285" w14:textId="77777777" w:rsidR="00C64595" w:rsidRDefault="00C64595"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15A45"/>
    <w:rsid w:val="000168FD"/>
    <w:rsid w:val="00016C3E"/>
    <w:rsid w:val="00020FAB"/>
    <w:rsid w:val="000438B8"/>
    <w:rsid w:val="00054FF3"/>
    <w:rsid w:val="00057173"/>
    <w:rsid w:val="00060E59"/>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5978"/>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97375"/>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06DC4"/>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1269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2A51"/>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10B6"/>
    <w:rsid w:val="00C64595"/>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117F"/>
    <w:rsid w:val="00D43459"/>
    <w:rsid w:val="00D5377C"/>
    <w:rsid w:val="00D54A68"/>
    <w:rsid w:val="00D56EC1"/>
    <w:rsid w:val="00D63F7D"/>
    <w:rsid w:val="00D658A7"/>
    <w:rsid w:val="00D73FCA"/>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07"/>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548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F00FA-8BEC-4206-947F-A44F79EB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3695</Words>
  <Characters>21064</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10</cp:revision>
  <cp:lastPrinted>2023-04-10T07:00:00Z</cp:lastPrinted>
  <dcterms:created xsi:type="dcterms:W3CDTF">2023-10-17T11:57:00Z</dcterms:created>
  <dcterms:modified xsi:type="dcterms:W3CDTF">2024-02-24T13:49:00Z</dcterms:modified>
</cp:coreProperties>
</file>