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5569" w14:textId="77777777" w:rsidR="003D2558" w:rsidRPr="004A7539" w:rsidRDefault="003D2558" w:rsidP="003D2558">
      <w:pPr>
        <w:jc w:val="right"/>
        <w:rPr>
          <w:b/>
        </w:rPr>
      </w:pPr>
      <w:r w:rsidRPr="004A7539">
        <w:rPr>
          <w:b/>
        </w:rPr>
        <w:t>Додаток 1</w:t>
      </w:r>
    </w:p>
    <w:p w14:paraId="04AF4AA1" w14:textId="614AD6DD" w:rsidR="003D2558" w:rsidRPr="004A7539" w:rsidRDefault="003D2558" w:rsidP="003D2558">
      <w:pPr>
        <w:jc w:val="right"/>
        <w:rPr>
          <w:b/>
        </w:rPr>
      </w:pPr>
      <w:r w:rsidRPr="004A7539">
        <w:rPr>
          <w:b/>
        </w:rPr>
        <w:t xml:space="preserve">до </w:t>
      </w:r>
      <w:bookmarkStart w:id="0" w:name="_GoBack"/>
      <w:r w:rsidRPr="00836DDD">
        <w:rPr>
          <w:b/>
        </w:rPr>
        <w:t>протоколу №</w:t>
      </w:r>
      <w:r w:rsidR="00836DDD" w:rsidRPr="00836DDD">
        <w:rPr>
          <w:b/>
        </w:rPr>
        <w:t xml:space="preserve"> 104</w:t>
      </w:r>
      <w:r w:rsidR="004C3930" w:rsidRPr="00836DDD">
        <w:rPr>
          <w:b/>
        </w:rPr>
        <w:t xml:space="preserve"> </w:t>
      </w:r>
      <w:r w:rsidRPr="00836DDD">
        <w:rPr>
          <w:b/>
        </w:rPr>
        <w:t>від</w:t>
      </w:r>
      <w:r w:rsidRPr="004A7539">
        <w:rPr>
          <w:b/>
        </w:rPr>
        <w:t xml:space="preserve"> </w:t>
      </w:r>
      <w:bookmarkEnd w:id="0"/>
      <w:r w:rsidR="004632DD">
        <w:rPr>
          <w:b/>
        </w:rPr>
        <w:t>29</w:t>
      </w:r>
      <w:r w:rsidRPr="004A7539">
        <w:rPr>
          <w:b/>
        </w:rPr>
        <w:t>.</w:t>
      </w:r>
      <w:r w:rsidR="009373CF" w:rsidRPr="004A7539">
        <w:rPr>
          <w:b/>
        </w:rPr>
        <w:t>01</w:t>
      </w:r>
      <w:r w:rsidRPr="004A7539">
        <w:rPr>
          <w:b/>
        </w:rPr>
        <w:t>.202</w:t>
      </w:r>
      <w:r w:rsidR="009373CF" w:rsidRPr="004A7539">
        <w:rPr>
          <w:b/>
        </w:rPr>
        <w:t>4</w:t>
      </w:r>
      <w:r w:rsidRPr="004A7539">
        <w:rPr>
          <w:b/>
        </w:rPr>
        <w:t xml:space="preserve"> року</w:t>
      </w:r>
    </w:p>
    <w:p w14:paraId="53CEBFC7" w14:textId="77777777" w:rsidR="008D3271" w:rsidRPr="004A7539" w:rsidRDefault="008D3271" w:rsidP="008D3271">
      <w:pPr>
        <w:jc w:val="center"/>
        <w:rPr>
          <w:b/>
          <w:sz w:val="36"/>
          <w:szCs w:val="36"/>
        </w:rPr>
      </w:pPr>
      <w:r w:rsidRPr="004A7539">
        <w:rPr>
          <w:b/>
          <w:sz w:val="36"/>
          <w:szCs w:val="36"/>
        </w:rPr>
        <w:t>Зміни внесені до тендерної документації</w:t>
      </w:r>
    </w:p>
    <w:p w14:paraId="3DA02576" w14:textId="77777777" w:rsidR="008D3271" w:rsidRPr="004A7539" w:rsidRDefault="008D3271" w:rsidP="008D3271">
      <w:pPr>
        <w:jc w:val="center"/>
        <w:rPr>
          <w:b/>
          <w:sz w:val="28"/>
          <w:szCs w:val="28"/>
        </w:rPr>
      </w:pPr>
      <w:r w:rsidRPr="004A7539">
        <w:rPr>
          <w:b/>
          <w:sz w:val="28"/>
          <w:szCs w:val="28"/>
        </w:rPr>
        <w:t xml:space="preserve">щодо закупівлі </w:t>
      </w:r>
    </w:p>
    <w:p w14:paraId="43C9F67C" w14:textId="77777777" w:rsidR="008D3271" w:rsidRPr="004A7539" w:rsidRDefault="004632DD" w:rsidP="00B14D84">
      <w:pPr>
        <w:shd w:val="clear" w:color="auto" w:fill="FFFFFF"/>
        <w:tabs>
          <w:tab w:val="left" w:pos="720"/>
        </w:tabs>
        <w:jc w:val="center"/>
        <w:rPr>
          <w:b/>
          <w:bCs/>
          <w:spacing w:val="1"/>
        </w:rPr>
      </w:pPr>
      <w:r w:rsidRPr="00B80E0F">
        <w:rPr>
          <w:b/>
          <w:bdr w:val="none" w:sz="0" w:space="0" w:color="auto" w:frame="1"/>
        </w:rPr>
        <w:t>«код ДК 021:2015 - 03410000-7 - Деревина</w:t>
      </w:r>
      <w:r w:rsidRPr="00B80E0F">
        <w:rPr>
          <w:b/>
          <w:color w:val="000000"/>
        </w:rPr>
        <w:t xml:space="preserve"> (</w:t>
      </w:r>
      <w:r w:rsidRPr="00B80E0F">
        <w:rPr>
          <w:b/>
          <w:bCs/>
          <w:color w:val="000000"/>
          <w:shd w:val="clear" w:color="auto" w:fill="FFFFFF"/>
        </w:rPr>
        <w:t>Деревина дров`яна непромислового використання I групи  (граб, ясен,  дуб, берест, в`яз, бук, береза, клен</w:t>
      </w:r>
      <w:r w:rsidRPr="00B80E0F">
        <w:rPr>
          <w:b/>
          <w:color w:val="000000"/>
        </w:rPr>
        <w:t>))»</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gridCol w:w="7088"/>
      </w:tblGrid>
      <w:tr w:rsidR="004A7539" w:rsidRPr="004A7539" w14:paraId="27CCD1AD" w14:textId="77777777" w:rsidTr="00556FD8">
        <w:trPr>
          <w:trHeight w:val="20"/>
        </w:trPr>
        <w:tc>
          <w:tcPr>
            <w:tcW w:w="1985" w:type="dxa"/>
            <w:vAlign w:val="center"/>
          </w:tcPr>
          <w:p w14:paraId="3601CBFD" w14:textId="77777777" w:rsidR="007311E9" w:rsidRPr="004A7539" w:rsidRDefault="00CF6793" w:rsidP="00C9049B">
            <w:pPr>
              <w:ind w:left="-108" w:right="-108"/>
              <w:rPr>
                <w:b/>
                <w:i/>
              </w:rPr>
            </w:pPr>
            <w:r w:rsidRPr="004A7539">
              <w:rPr>
                <w:b/>
                <w:i/>
              </w:rPr>
              <w:t>Пункт ТД</w:t>
            </w:r>
          </w:p>
        </w:tc>
        <w:tc>
          <w:tcPr>
            <w:tcW w:w="7371" w:type="dxa"/>
            <w:shd w:val="clear" w:color="auto" w:fill="auto"/>
            <w:vAlign w:val="center"/>
          </w:tcPr>
          <w:p w14:paraId="7DFB73AF" w14:textId="77777777" w:rsidR="007311E9" w:rsidRPr="004A7539" w:rsidRDefault="007311E9" w:rsidP="004632DD">
            <w:pPr>
              <w:jc w:val="center"/>
              <w:rPr>
                <w:b/>
              </w:rPr>
            </w:pPr>
            <w:r w:rsidRPr="004A7539">
              <w:rPr>
                <w:b/>
              </w:rPr>
              <w:t xml:space="preserve">Редакція від </w:t>
            </w:r>
            <w:r w:rsidR="004632DD">
              <w:rPr>
                <w:b/>
              </w:rPr>
              <w:t>25</w:t>
            </w:r>
            <w:r w:rsidR="005E38E8" w:rsidRPr="004A7539">
              <w:rPr>
                <w:b/>
              </w:rPr>
              <w:t>.</w:t>
            </w:r>
            <w:r w:rsidR="009373CF" w:rsidRPr="004A7539">
              <w:rPr>
                <w:b/>
              </w:rPr>
              <w:t>0</w:t>
            </w:r>
            <w:r w:rsidR="0018155E" w:rsidRPr="004A7539">
              <w:rPr>
                <w:b/>
              </w:rPr>
              <w:t>1</w:t>
            </w:r>
            <w:r w:rsidR="005E38E8" w:rsidRPr="004A7539">
              <w:rPr>
                <w:b/>
              </w:rPr>
              <w:t>.</w:t>
            </w:r>
            <w:r w:rsidRPr="004A7539">
              <w:rPr>
                <w:b/>
              </w:rPr>
              <w:t>202</w:t>
            </w:r>
            <w:r w:rsidR="009373CF" w:rsidRPr="004A7539">
              <w:rPr>
                <w:b/>
              </w:rPr>
              <w:t>4</w:t>
            </w:r>
            <w:r w:rsidRPr="004A7539">
              <w:rPr>
                <w:b/>
              </w:rPr>
              <w:t xml:space="preserve"> року</w:t>
            </w:r>
          </w:p>
        </w:tc>
        <w:tc>
          <w:tcPr>
            <w:tcW w:w="7088" w:type="dxa"/>
          </w:tcPr>
          <w:p w14:paraId="32920B6B" w14:textId="77777777" w:rsidR="007311E9" w:rsidRPr="004A7539" w:rsidRDefault="007311E9" w:rsidP="004632DD">
            <w:pPr>
              <w:jc w:val="center"/>
              <w:rPr>
                <w:b/>
              </w:rPr>
            </w:pPr>
            <w:r w:rsidRPr="004A7539">
              <w:rPr>
                <w:b/>
              </w:rPr>
              <w:t xml:space="preserve">Редакція від </w:t>
            </w:r>
            <w:r w:rsidR="004632DD">
              <w:rPr>
                <w:b/>
              </w:rPr>
              <w:t>29</w:t>
            </w:r>
            <w:r w:rsidRPr="004A7539">
              <w:rPr>
                <w:b/>
              </w:rPr>
              <w:t>.</w:t>
            </w:r>
            <w:r w:rsidR="009373CF" w:rsidRPr="004A7539">
              <w:rPr>
                <w:b/>
              </w:rPr>
              <w:t>01</w:t>
            </w:r>
            <w:r w:rsidRPr="004A7539">
              <w:rPr>
                <w:b/>
              </w:rPr>
              <w:t>.202</w:t>
            </w:r>
            <w:r w:rsidR="009373CF" w:rsidRPr="004A7539">
              <w:rPr>
                <w:b/>
              </w:rPr>
              <w:t>4</w:t>
            </w:r>
            <w:r w:rsidRPr="004A7539">
              <w:rPr>
                <w:b/>
              </w:rPr>
              <w:t xml:space="preserve"> року</w:t>
            </w:r>
          </w:p>
        </w:tc>
      </w:tr>
      <w:tr w:rsidR="004632DD" w:rsidRPr="004A7539" w14:paraId="5A41648B" w14:textId="77777777" w:rsidTr="00556FD8">
        <w:trPr>
          <w:trHeight w:val="20"/>
        </w:trPr>
        <w:tc>
          <w:tcPr>
            <w:tcW w:w="1985" w:type="dxa"/>
            <w:vAlign w:val="center"/>
          </w:tcPr>
          <w:p w14:paraId="7794B076" w14:textId="77777777" w:rsidR="004632DD" w:rsidRPr="004A7539" w:rsidRDefault="004632DD" w:rsidP="004632DD">
            <w:pPr>
              <w:ind w:left="-108" w:right="-108"/>
              <w:rPr>
                <w:b/>
                <w:i/>
              </w:rPr>
            </w:pPr>
            <w:r w:rsidRPr="004A7539">
              <w:rPr>
                <w:b/>
                <w:sz w:val="20"/>
                <w:szCs w:val="20"/>
              </w:rPr>
              <w:t>п. 3.</w:t>
            </w:r>
            <w:r>
              <w:rPr>
                <w:b/>
                <w:sz w:val="20"/>
                <w:szCs w:val="20"/>
              </w:rPr>
              <w:t>5</w:t>
            </w:r>
            <w:r w:rsidRPr="004A7539">
              <w:rPr>
                <w:b/>
                <w:sz w:val="20"/>
                <w:szCs w:val="20"/>
              </w:rPr>
              <w:t>.</w:t>
            </w:r>
            <w:r>
              <w:rPr>
                <w:b/>
                <w:sz w:val="20"/>
                <w:szCs w:val="20"/>
              </w:rPr>
              <w:t>2</w:t>
            </w:r>
            <w:r w:rsidRPr="004A7539">
              <w:rPr>
                <w:b/>
                <w:sz w:val="20"/>
                <w:szCs w:val="20"/>
              </w:rPr>
              <w:t xml:space="preserve">. ч. </w:t>
            </w:r>
            <w:r>
              <w:rPr>
                <w:b/>
                <w:sz w:val="20"/>
                <w:szCs w:val="20"/>
              </w:rPr>
              <w:t>5</w:t>
            </w:r>
            <w:r w:rsidRPr="004A7539">
              <w:rPr>
                <w:b/>
                <w:sz w:val="20"/>
                <w:szCs w:val="20"/>
              </w:rPr>
              <w:t xml:space="preserve"> (</w:t>
            </w:r>
            <w:r w:rsidRPr="004632DD">
              <w:rPr>
                <w:b/>
                <w:sz w:val="20"/>
                <w:szCs w:val="20"/>
              </w:rPr>
              <w:t>Кваліфікаційні критерії до учасників та вимоги, установлені п.47 Особливостей</w:t>
            </w:r>
            <w:r w:rsidRPr="004A7539">
              <w:rPr>
                <w:b/>
                <w:sz w:val="20"/>
                <w:szCs w:val="20"/>
              </w:rPr>
              <w:t>)</w:t>
            </w:r>
          </w:p>
        </w:tc>
        <w:tc>
          <w:tcPr>
            <w:tcW w:w="7371" w:type="dxa"/>
            <w:shd w:val="clear" w:color="auto" w:fill="auto"/>
            <w:vAlign w:val="center"/>
          </w:tcPr>
          <w:p w14:paraId="1E429E2C" w14:textId="77777777" w:rsidR="004632DD" w:rsidRPr="004632DD" w:rsidRDefault="004632DD" w:rsidP="004632DD">
            <w:pPr>
              <w:pStyle w:val="210"/>
              <w:spacing w:after="0" w:line="240" w:lineRule="auto"/>
              <w:ind w:left="0" w:right="100"/>
              <w:contextualSpacing/>
              <w:jc w:val="both"/>
              <w:rPr>
                <w:rFonts w:ascii="Times New Roman" w:hAnsi="Times New Roman"/>
                <w:strike/>
                <w:sz w:val="20"/>
                <w:szCs w:val="20"/>
                <w:lang w:val="uk-UA"/>
              </w:rPr>
            </w:pPr>
            <w:r w:rsidRPr="004632DD">
              <w:rPr>
                <w:rFonts w:ascii="Times New Roman" w:hAnsi="Times New Roman"/>
                <w:strike/>
                <w:sz w:val="20"/>
                <w:szCs w:val="20"/>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678"/>
            </w:tblGrid>
            <w:tr w:rsidR="004632DD" w:rsidRPr="004632DD" w14:paraId="34490E8F" w14:textId="77777777" w:rsidTr="004632DD">
              <w:tc>
                <w:tcPr>
                  <w:tcW w:w="2297" w:type="dxa"/>
                  <w:tcBorders>
                    <w:top w:val="single" w:sz="4" w:space="0" w:color="auto"/>
                    <w:left w:val="single" w:sz="4" w:space="0" w:color="auto"/>
                    <w:bottom w:val="single" w:sz="4" w:space="0" w:color="auto"/>
                    <w:right w:val="single" w:sz="4" w:space="0" w:color="auto"/>
                  </w:tcBorders>
                  <w:hideMark/>
                </w:tcPr>
                <w:p w14:paraId="7CBAC8D6" w14:textId="77777777" w:rsidR="004632DD" w:rsidRPr="004632DD" w:rsidRDefault="004632DD" w:rsidP="00572413">
                  <w:pPr>
                    <w:pStyle w:val="20"/>
                    <w:spacing w:after="0" w:line="240" w:lineRule="auto"/>
                    <w:ind w:left="0" w:right="100"/>
                    <w:rPr>
                      <w:rFonts w:ascii="Times New Roman" w:hAnsi="Times New Roman" w:cs="Times New Roman"/>
                      <w:b/>
                      <w:i/>
                      <w:strike/>
                      <w:sz w:val="20"/>
                      <w:szCs w:val="20"/>
                    </w:rPr>
                  </w:pPr>
                  <w:proofErr w:type="spellStart"/>
                  <w:r w:rsidRPr="004632DD">
                    <w:rPr>
                      <w:rFonts w:ascii="Times New Roman" w:hAnsi="Times New Roman" w:cs="Times New Roman"/>
                      <w:b/>
                      <w:i/>
                      <w:strike/>
                      <w:sz w:val="20"/>
                      <w:szCs w:val="20"/>
                    </w:rPr>
                    <w:t>Кваліфікаційний</w:t>
                  </w:r>
                  <w:proofErr w:type="spellEnd"/>
                  <w:r w:rsidRPr="004632DD">
                    <w:rPr>
                      <w:rFonts w:ascii="Times New Roman" w:hAnsi="Times New Roman" w:cs="Times New Roman"/>
                      <w:b/>
                      <w:i/>
                      <w:strike/>
                      <w:sz w:val="20"/>
                      <w:szCs w:val="20"/>
                    </w:rPr>
                    <w:t xml:space="preserve"> </w:t>
                  </w:r>
                  <w:proofErr w:type="spellStart"/>
                  <w:r w:rsidRPr="004632DD">
                    <w:rPr>
                      <w:rFonts w:ascii="Times New Roman" w:hAnsi="Times New Roman" w:cs="Times New Roman"/>
                      <w:b/>
                      <w:i/>
                      <w:strike/>
                      <w:sz w:val="20"/>
                      <w:szCs w:val="20"/>
                    </w:rPr>
                    <w:t>критерій</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24B7A531" w14:textId="77777777" w:rsidR="004632DD" w:rsidRPr="004632DD" w:rsidRDefault="004632DD" w:rsidP="00572413">
                  <w:pPr>
                    <w:pStyle w:val="20"/>
                    <w:spacing w:after="0" w:line="240" w:lineRule="auto"/>
                    <w:ind w:left="0" w:right="100"/>
                    <w:rPr>
                      <w:rFonts w:ascii="Times New Roman" w:hAnsi="Times New Roman" w:cs="Times New Roman"/>
                      <w:b/>
                      <w:i/>
                      <w:strike/>
                      <w:sz w:val="20"/>
                      <w:szCs w:val="20"/>
                    </w:rPr>
                  </w:pPr>
                  <w:proofErr w:type="spellStart"/>
                  <w:r w:rsidRPr="004632DD">
                    <w:rPr>
                      <w:rFonts w:ascii="Times New Roman" w:hAnsi="Times New Roman" w:cs="Times New Roman"/>
                      <w:b/>
                      <w:i/>
                      <w:strike/>
                      <w:sz w:val="20"/>
                      <w:szCs w:val="20"/>
                    </w:rPr>
                    <w:t>Документальне</w:t>
                  </w:r>
                  <w:proofErr w:type="spellEnd"/>
                  <w:r w:rsidRPr="004632DD">
                    <w:rPr>
                      <w:rFonts w:ascii="Times New Roman" w:hAnsi="Times New Roman" w:cs="Times New Roman"/>
                      <w:b/>
                      <w:i/>
                      <w:strike/>
                      <w:sz w:val="20"/>
                      <w:szCs w:val="20"/>
                    </w:rPr>
                    <w:t xml:space="preserve"> </w:t>
                  </w:r>
                  <w:proofErr w:type="spellStart"/>
                  <w:r w:rsidRPr="004632DD">
                    <w:rPr>
                      <w:rFonts w:ascii="Times New Roman" w:hAnsi="Times New Roman" w:cs="Times New Roman"/>
                      <w:b/>
                      <w:i/>
                      <w:strike/>
                      <w:sz w:val="20"/>
                      <w:szCs w:val="20"/>
                    </w:rPr>
                    <w:t>під</w:t>
                  </w:r>
                  <w:proofErr w:type="spellEnd"/>
                  <w:r w:rsidRPr="004632DD">
                    <w:rPr>
                      <w:rFonts w:ascii="Times New Roman" w:hAnsi="Times New Roman" w:cs="Times New Roman"/>
                      <w:b/>
                      <w:i/>
                      <w:strike/>
                      <w:sz w:val="20"/>
                      <w:szCs w:val="20"/>
                    </w:rPr>
                    <w:cr/>
                  </w:r>
                  <w:proofErr w:type="spellStart"/>
                  <w:r w:rsidRPr="004632DD">
                    <w:rPr>
                      <w:rFonts w:ascii="Times New Roman" w:hAnsi="Times New Roman" w:cs="Times New Roman"/>
                      <w:b/>
                      <w:i/>
                      <w:strike/>
                      <w:sz w:val="20"/>
                      <w:szCs w:val="20"/>
                    </w:rPr>
                    <w:t>вердження</w:t>
                  </w:r>
                  <w:proofErr w:type="spellEnd"/>
                </w:p>
              </w:tc>
            </w:tr>
            <w:tr w:rsidR="004632DD" w:rsidRPr="004632DD" w14:paraId="531AFBA4" w14:textId="77777777" w:rsidTr="004632DD">
              <w:tc>
                <w:tcPr>
                  <w:tcW w:w="2297" w:type="dxa"/>
                  <w:tcBorders>
                    <w:top w:val="single" w:sz="4" w:space="0" w:color="auto"/>
                    <w:left w:val="single" w:sz="4" w:space="0" w:color="auto"/>
                    <w:bottom w:val="single" w:sz="4" w:space="0" w:color="auto"/>
                    <w:right w:val="single" w:sz="4" w:space="0" w:color="auto"/>
                  </w:tcBorders>
                  <w:vAlign w:val="center"/>
                  <w:hideMark/>
                </w:tcPr>
                <w:p w14:paraId="71C061E8" w14:textId="77777777" w:rsidR="004632DD" w:rsidRPr="004632DD" w:rsidRDefault="004632DD" w:rsidP="00572413">
                  <w:pPr>
                    <w:ind w:right="100"/>
                    <w:rPr>
                      <w:i/>
                      <w:strike/>
                      <w:sz w:val="20"/>
                      <w:szCs w:val="20"/>
                    </w:rPr>
                  </w:pPr>
                  <w:r w:rsidRPr="004632DD">
                    <w:rPr>
                      <w:i/>
                      <w:strike/>
                      <w:sz w:val="20"/>
                      <w:szCs w:val="20"/>
                    </w:rPr>
                    <w:t>1. Наявність в учасника процедури закупівлі обладнання, матеріально-технічної бази та технологій</w:t>
                  </w:r>
                </w:p>
              </w:tc>
              <w:tc>
                <w:tcPr>
                  <w:tcW w:w="4678" w:type="dxa"/>
                  <w:tcBorders>
                    <w:top w:val="single" w:sz="4" w:space="0" w:color="auto"/>
                    <w:left w:val="single" w:sz="4" w:space="0" w:color="auto"/>
                    <w:bottom w:val="single" w:sz="4" w:space="0" w:color="auto"/>
                    <w:right w:val="single" w:sz="4" w:space="0" w:color="auto"/>
                  </w:tcBorders>
                  <w:hideMark/>
                </w:tcPr>
                <w:p w14:paraId="7C78F8F0" w14:textId="77777777" w:rsidR="004632DD" w:rsidRPr="00836DDD" w:rsidRDefault="004632DD" w:rsidP="00572413">
                  <w:pPr>
                    <w:pStyle w:val="20"/>
                    <w:shd w:val="clear" w:color="auto" w:fill="FFFFFF"/>
                    <w:spacing w:after="0" w:line="264" w:lineRule="auto"/>
                    <w:ind w:left="0"/>
                    <w:jc w:val="both"/>
                    <w:rPr>
                      <w:rFonts w:ascii="Times New Roman" w:hAnsi="Times New Roman" w:cs="Times New Roman"/>
                      <w:strike/>
                      <w:sz w:val="20"/>
                      <w:szCs w:val="20"/>
                      <w:lang w:val="uk-UA"/>
                    </w:rPr>
                  </w:pPr>
                  <w:r w:rsidRPr="00836DDD">
                    <w:rPr>
                      <w:rFonts w:ascii="Times New Roman" w:hAnsi="Times New Roman" w:cs="Times New Roman"/>
                      <w:strike/>
                      <w:sz w:val="20"/>
                      <w:szCs w:val="20"/>
                      <w:lang w:val="uk-UA"/>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14:paraId="47F31289" w14:textId="77777777" w:rsidR="004632DD" w:rsidRPr="00836DDD" w:rsidRDefault="004632DD" w:rsidP="00572413">
                  <w:pPr>
                    <w:pStyle w:val="20"/>
                    <w:shd w:val="clear" w:color="auto" w:fill="FFFFFF"/>
                    <w:spacing w:after="0" w:line="264" w:lineRule="auto"/>
                    <w:ind w:left="0"/>
                    <w:jc w:val="both"/>
                    <w:rPr>
                      <w:rFonts w:ascii="Times New Roman" w:hAnsi="Times New Roman" w:cs="Times New Roman"/>
                      <w:strike/>
                      <w:sz w:val="20"/>
                      <w:szCs w:val="20"/>
                      <w:lang w:val="uk-UA"/>
                    </w:rPr>
                  </w:pPr>
                  <w:r w:rsidRPr="00836DDD">
                    <w:rPr>
                      <w:rFonts w:ascii="Times New Roman" w:hAnsi="Times New Roman" w:cs="Times New Roman"/>
                      <w:strike/>
                      <w:sz w:val="20"/>
                      <w:szCs w:val="20"/>
                      <w:lang w:val="uk-UA"/>
                    </w:rPr>
                    <w:t>1.2. 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4632DD" w:rsidRPr="004632DD" w14:paraId="3A0E762C" w14:textId="77777777" w:rsidTr="004632DD">
              <w:tc>
                <w:tcPr>
                  <w:tcW w:w="2297" w:type="dxa"/>
                  <w:tcBorders>
                    <w:top w:val="single" w:sz="4" w:space="0" w:color="auto"/>
                    <w:left w:val="single" w:sz="4" w:space="0" w:color="auto"/>
                    <w:bottom w:val="single" w:sz="4" w:space="0" w:color="auto"/>
                    <w:right w:val="single" w:sz="4" w:space="0" w:color="auto"/>
                  </w:tcBorders>
                  <w:vAlign w:val="center"/>
                  <w:hideMark/>
                </w:tcPr>
                <w:p w14:paraId="4D34B5AB" w14:textId="77777777" w:rsidR="004632DD" w:rsidRPr="004632DD" w:rsidRDefault="004632DD" w:rsidP="00572413">
                  <w:pPr>
                    <w:ind w:right="100"/>
                    <w:rPr>
                      <w:i/>
                      <w:strike/>
                      <w:sz w:val="20"/>
                      <w:szCs w:val="20"/>
                    </w:rPr>
                  </w:pPr>
                  <w:r w:rsidRPr="004632DD">
                    <w:rPr>
                      <w:i/>
                      <w:strike/>
                      <w:sz w:val="20"/>
                      <w:szCs w:val="20"/>
                    </w:rPr>
                    <w:t>2. Наявність документально підтвердженого досвіду виконання аналогічного (аналогічних) за предметом закупівлі договору (договорів).</w:t>
                  </w:r>
                </w:p>
              </w:tc>
              <w:tc>
                <w:tcPr>
                  <w:tcW w:w="4678" w:type="dxa"/>
                  <w:tcBorders>
                    <w:top w:val="single" w:sz="4" w:space="0" w:color="auto"/>
                    <w:left w:val="single" w:sz="4" w:space="0" w:color="auto"/>
                    <w:bottom w:val="single" w:sz="4" w:space="0" w:color="auto"/>
                    <w:right w:val="single" w:sz="4" w:space="0" w:color="auto"/>
                  </w:tcBorders>
                  <w:hideMark/>
                </w:tcPr>
                <w:p w14:paraId="7A2A3AF5" w14:textId="77777777" w:rsidR="004632DD" w:rsidRPr="004632DD" w:rsidRDefault="004632DD" w:rsidP="00572413">
                  <w:pPr>
                    <w:pStyle w:val="20"/>
                    <w:spacing w:after="0" w:line="240" w:lineRule="auto"/>
                    <w:ind w:left="0"/>
                    <w:jc w:val="both"/>
                    <w:rPr>
                      <w:rFonts w:ascii="Times New Roman" w:hAnsi="Times New Roman" w:cs="Times New Roman"/>
                      <w:strike/>
                      <w:sz w:val="20"/>
                      <w:szCs w:val="20"/>
                      <w:lang w:val="uk-UA"/>
                    </w:rPr>
                  </w:pPr>
                  <w:r w:rsidRPr="004632DD">
                    <w:rPr>
                      <w:rFonts w:ascii="Times New Roman" w:hAnsi="Times New Roman" w:cs="Times New Roman"/>
                      <w:strike/>
                      <w:sz w:val="20"/>
                      <w:szCs w:val="20"/>
                      <w:lang w:val="uk-UA"/>
                    </w:rPr>
                    <w:t>2.1. Довідка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які укладені в 2021-2023 роках, разом із копією аналогічного договору без додатків та Додаткових угод, що вказаний в довідці. Також в складі пропозиції надаються копії документів що підтверджують факт часткового або ж повного виконання договору (видаткова накладна, товарно-транспортна накладна, тощо).</w:t>
                  </w:r>
                </w:p>
                <w:p w14:paraId="4124C10A" w14:textId="77777777" w:rsidR="004632DD" w:rsidRPr="004632DD" w:rsidRDefault="004632DD" w:rsidP="00572413">
                  <w:pPr>
                    <w:pStyle w:val="22"/>
                    <w:ind w:left="35" w:firstLine="0"/>
                    <w:jc w:val="both"/>
                    <w:rPr>
                      <w:strike/>
                      <w:sz w:val="20"/>
                      <w:vertAlign w:val="subscript"/>
                    </w:rPr>
                  </w:pPr>
                  <w:r w:rsidRPr="004632DD">
                    <w:rPr>
                      <w:strike/>
                      <w:sz w:val="20"/>
                    </w:rPr>
                    <w:t>2.2. Досвід виконання договорів за 2021-2023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4632DD">
                    <w:rPr>
                      <w:strike/>
                      <w:sz w:val="20"/>
                      <w:lang w:eastAsia="uk-UA"/>
                    </w:rPr>
                    <w:t>.</w:t>
                  </w:r>
                </w:p>
              </w:tc>
            </w:tr>
          </w:tbl>
          <w:p w14:paraId="57D85225" w14:textId="77777777" w:rsidR="004632DD" w:rsidRPr="004632DD" w:rsidRDefault="004632DD" w:rsidP="004632DD">
            <w:pPr>
              <w:pStyle w:val="210"/>
              <w:spacing w:after="0" w:line="240" w:lineRule="auto"/>
              <w:ind w:left="60"/>
              <w:jc w:val="both"/>
              <w:rPr>
                <w:rFonts w:ascii="Times New Roman" w:hAnsi="Times New Roman"/>
                <w:i/>
                <w:strike/>
                <w:sz w:val="20"/>
                <w:szCs w:val="20"/>
                <w:lang w:val="uk-UA" w:eastAsia="ru-RU"/>
              </w:rPr>
            </w:pPr>
            <w:r w:rsidRPr="004632DD">
              <w:rPr>
                <w:rFonts w:ascii="Times New Roman" w:hAnsi="Times New Roman"/>
                <w:i/>
                <w:strike/>
                <w:sz w:val="20"/>
                <w:szCs w:val="20"/>
                <w:lang w:val="uk-UA" w:eastAsia="ru-RU"/>
              </w:rPr>
              <w:t xml:space="preserve"> *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20D43F51" w14:textId="77777777" w:rsidR="004632DD" w:rsidRPr="004632DD" w:rsidRDefault="004632DD" w:rsidP="009373CF">
            <w:pPr>
              <w:jc w:val="center"/>
              <w:rPr>
                <w:b/>
                <w:strike/>
                <w:sz w:val="20"/>
                <w:szCs w:val="20"/>
              </w:rPr>
            </w:pPr>
          </w:p>
        </w:tc>
        <w:tc>
          <w:tcPr>
            <w:tcW w:w="7088" w:type="dxa"/>
            <w:vAlign w:val="center"/>
          </w:tcPr>
          <w:p w14:paraId="098DD328" w14:textId="77777777" w:rsidR="004632DD" w:rsidRPr="004632DD" w:rsidRDefault="004632DD" w:rsidP="00572413">
            <w:pPr>
              <w:pStyle w:val="210"/>
              <w:spacing w:after="0" w:line="240" w:lineRule="auto"/>
              <w:ind w:left="0" w:right="100"/>
              <w:contextualSpacing/>
              <w:jc w:val="both"/>
              <w:rPr>
                <w:rFonts w:ascii="Times New Roman" w:hAnsi="Times New Roman"/>
                <w:sz w:val="20"/>
                <w:szCs w:val="20"/>
                <w:lang w:val="uk-UA"/>
              </w:rPr>
            </w:pPr>
            <w:r w:rsidRPr="004632DD">
              <w:rPr>
                <w:rFonts w:ascii="Times New Roman" w:hAnsi="Times New Roman"/>
                <w:sz w:val="20"/>
                <w:szCs w:val="20"/>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678"/>
            </w:tblGrid>
            <w:tr w:rsidR="004632DD" w:rsidRPr="004632DD" w14:paraId="2408E972" w14:textId="77777777" w:rsidTr="00572413">
              <w:tc>
                <w:tcPr>
                  <w:tcW w:w="2297" w:type="dxa"/>
                  <w:tcBorders>
                    <w:top w:val="single" w:sz="4" w:space="0" w:color="auto"/>
                    <w:left w:val="single" w:sz="4" w:space="0" w:color="auto"/>
                    <w:bottom w:val="single" w:sz="4" w:space="0" w:color="auto"/>
                    <w:right w:val="single" w:sz="4" w:space="0" w:color="auto"/>
                  </w:tcBorders>
                  <w:hideMark/>
                </w:tcPr>
                <w:p w14:paraId="20EA5902" w14:textId="77777777" w:rsidR="004632DD" w:rsidRPr="004632DD" w:rsidRDefault="004632DD" w:rsidP="00572413">
                  <w:pPr>
                    <w:pStyle w:val="20"/>
                    <w:spacing w:after="0" w:line="240" w:lineRule="auto"/>
                    <w:ind w:left="0" w:right="100"/>
                    <w:rPr>
                      <w:rFonts w:ascii="Times New Roman" w:hAnsi="Times New Roman" w:cs="Times New Roman"/>
                      <w:b/>
                      <w:i/>
                      <w:sz w:val="20"/>
                      <w:szCs w:val="20"/>
                    </w:rPr>
                  </w:pPr>
                  <w:proofErr w:type="spellStart"/>
                  <w:r w:rsidRPr="004632DD">
                    <w:rPr>
                      <w:rFonts w:ascii="Times New Roman" w:hAnsi="Times New Roman" w:cs="Times New Roman"/>
                      <w:b/>
                      <w:i/>
                      <w:sz w:val="20"/>
                      <w:szCs w:val="20"/>
                    </w:rPr>
                    <w:t>Кваліфікаційний</w:t>
                  </w:r>
                  <w:proofErr w:type="spellEnd"/>
                  <w:r w:rsidRPr="004632DD">
                    <w:rPr>
                      <w:rFonts w:ascii="Times New Roman" w:hAnsi="Times New Roman" w:cs="Times New Roman"/>
                      <w:b/>
                      <w:i/>
                      <w:sz w:val="20"/>
                      <w:szCs w:val="20"/>
                    </w:rPr>
                    <w:t xml:space="preserve"> </w:t>
                  </w:r>
                  <w:proofErr w:type="spellStart"/>
                  <w:r w:rsidRPr="004632DD">
                    <w:rPr>
                      <w:rFonts w:ascii="Times New Roman" w:hAnsi="Times New Roman" w:cs="Times New Roman"/>
                      <w:b/>
                      <w:i/>
                      <w:sz w:val="20"/>
                      <w:szCs w:val="20"/>
                    </w:rPr>
                    <w:t>критерій</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59657366" w14:textId="77777777" w:rsidR="004632DD" w:rsidRPr="004632DD" w:rsidRDefault="004632DD" w:rsidP="00572413">
                  <w:pPr>
                    <w:pStyle w:val="20"/>
                    <w:spacing w:after="0" w:line="240" w:lineRule="auto"/>
                    <w:ind w:left="0" w:right="100"/>
                    <w:rPr>
                      <w:rFonts w:ascii="Times New Roman" w:hAnsi="Times New Roman" w:cs="Times New Roman"/>
                      <w:b/>
                      <w:i/>
                      <w:sz w:val="20"/>
                      <w:szCs w:val="20"/>
                    </w:rPr>
                  </w:pPr>
                  <w:proofErr w:type="spellStart"/>
                  <w:r w:rsidRPr="004632DD">
                    <w:rPr>
                      <w:rFonts w:ascii="Times New Roman" w:hAnsi="Times New Roman" w:cs="Times New Roman"/>
                      <w:b/>
                      <w:i/>
                      <w:sz w:val="20"/>
                      <w:szCs w:val="20"/>
                    </w:rPr>
                    <w:t>Документальне</w:t>
                  </w:r>
                  <w:proofErr w:type="spellEnd"/>
                  <w:r w:rsidRPr="004632DD">
                    <w:rPr>
                      <w:rFonts w:ascii="Times New Roman" w:hAnsi="Times New Roman" w:cs="Times New Roman"/>
                      <w:b/>
                      <w:i/>
                      <w:sz w:val="20"/>
                      <w:szCs w:val="20"/>
                    </w:rPr>
                    <w:t xml:space="preserve"> </w:t>
                  </w:r>
                  <w:proofErr w:type="spellStart"/>
                  <w:r w:rsidRPr="004632DD">
                    <w:rPr>
                      <w:rFonts w:ascii="Times New Roman" w:hAnsi="Times New Roman" w:cs="Times New Roman"/>
                      <w:b/>
                      <w:i/>
                      <w:sz w:val="20"/>
                      <w:szCs w:val="20"/>
                    </w:rPr>
                    <w:t>під</w:t>
                  </w:r>
                  <w:proofErr w:type="spellEnd"/>
                  <w:r w:rsidRPr="004632DD">
                    <w:rPr>
                      <w:rFonts w:ascii="Times New Roman" w:hAnsi="Times New Roman" w:cs="Times New Roman"/>
                      <w:b/>
                      <w:i/>
                      <w:sz w:val="20"/>
                      <w:szCs w:val="20"/>
                    </w:rPr>
                    <w:cr/>
                  </w:r>
                  <w:proofErr w:type="spellStart"/>
                  <w:r w:rsidRPr="004632DD">
                    <w:rPr>
                      <w:rFonts w:ascii="Times New Roman" w:hAnsi="Times New Roman" w:cs="Times New Roman"/>
                      <w:b/>
                      <w:i/>
                      <w:sz w:val="20"/>
                      <w:szCs w:val="20"/>
                    </w:rPr>
                    <w:t>вердження</w:t>
                  </w:r>
                  <w:proofErr w:type="spellEnd"/>
                </w:p>
              </w:tc>
            </w:tr>
            <w:tr w:rsidR="004632DD" w:rsidRPr="004632DD" w14:paraId="21115971" w14:textId="77777777" w:rsidTr="00572413">
              <w:tc>
                <w:tcPr>
                  <w:tcW w:w="2297" w:type="dxa"/>
                  <w:tcBorders>
                    <w:top w:val="single" w:sz="4" w:space="0" w:color="auto"/>
                    <w:left w:val="single" w:sz="4" w:space="0" w:color="auto"/>
                    <w:bottom w:val="single" w:sz="4" w:space="0" w:color="auto"/>
                    <w:right w:val="single" w:sz="4" w:space="0" w:color="auto"/>
                  </w:tcBorders>
                  <w:vAlign w:val="center"/>
                  <w:hideMark/>
                </w:tcPr>
                <w:p w14:paraId="04F088A5" w14:textId="77777777" w:rsidR="004632DD" w:rsidRPr="004632DD" w:rsidRDefault="004632DD" w:rsidP="00572413">
                  <w:pPr>
                    <w:ind w:right="100"/>
                    <w:rPr>
                      <w:i/>
                      <w:sz w:val="20"/>
                      <w:szCs w:val="20"/>
                    </w:rPr>
                  </w:pPr>
                  <w:r w:rsidRPr="004632DD">
                    <w:rPr>
                      <w:i/>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4678" w:type="dxa"/>
                  <w:tcBorders>
                    <w:top w:val="single" w:sz="4" w:space="0" w:color="auto"/>
                    <w:left w:val="single" w:sz="4" w:space="0" w:color="auto"/>
                    <w:bottom w:val="single" w:sz="4" w:space="0" w:color="auto"/>
                    <w:right w:val="single" w:sz="4" w:space="0" w:color="auto"/>
                  </w:tcBorders>
                  <w:hideMark/>
                </w:tcPr>
                <w:p w14:paraId="1AB6C755" w14:textId="77777777" w:rsidR="004632DD" w:rsidRPr="004632DD" w:rsidRDefault="004632DD" w:rsidP="00572413">
                  <w:pPr>
                    <w:pStyle w:val="20"/>
                    <w:spacing w:after="0" w:line="240" w:lineRule="auto"/>
                    <w:ind w:left="0"/>
                    <w:jc w:val="both"/>
                    <w:rPr>
                      <w:rFonts w:ascii="Times New Roman" w:hAnsi="Times New Roman" w:cs="Times New Roman"/>
                      <w:sz w:val="20"/>
                      <w:szCs w:val="20"/>
                      <w:lang w:val="uk-UA"/>
                    </w:rPr>
                  </w:pPr>
                  <w:r w:rsidRPr="004632DD">
                    <w:rPr>
                      <w:rFonts w:ascii="Times New Roman" w:hAnsi="Times New Roman" w:cs="Times New Roman"/>
                      <w:sz w:val="20"/>
                      <w:szCs w:val="20"/>
                      <w:lang w:val="uk-UA"/>
                    </w:rPr>
                    <w:t>1.1. Довідка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які укладені в 2021-2023 роках, разом із копією аналогічного договору без додатків та Додаткових угод, що вказаний в довідці. Також в складі пропозиції надаються копії документів що підтверджують факт часткового або ж повного виконання договору (видаткова накладна, товарно-транспортна накладна, тощо).</w:t>
                  </w:r>
                </w:p>
                <w:p w14:paraId="7109D3DB" w14:textId="77777777" w:rsidR="004632DD" w:rsidRPr="004632DD" w:rsidRDefault="004632DD" w:rsidP="00572413">
                  <w:pPr>
                    <w:pStyle w:val="22"/>
                    <w:ind w:left="35" w:firstLine="0"/>
                    <w:jc w:val="both"/>
                    <w:rPr>
                      <w:sz w:val="20"/>
                      <w:vertAlign w:val="subscript"/>
                    </w:rPr>
                  </w:pPr>
                  <w:r w:rsidRPr="004632DD">
                    <w:rPr>
                      <w:sz w:val="20"/>
                    </w:rPr>
                    <w:t>1.2. Досвід виконання договорів за 2021-2023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4632DD">
                    <w:rPr>
                      <w:sz w:val="20"/>
                      <w:lang w:eastAsia="uk-UA"/>
                    </w:rPr>
                    <w:t>.</w:t>
                  </w:r>
                </w:p>
              </w:tc>
            </w:tr>
          </w:tbl>
          <w:p w14:paraId="31A118A5" w14:textId="77777777" w:rsidR="004632DD" w:rsidRPr="004632DD" w:rsidRDefault="004632DD" w:rsidP="00572413">
            <w:pPr>
              <w:pStyle w:val="210"/>
              <w:spacing w:after="0" w:line="240" w:lineRule="auto"/>
              <w:ind w:left="60"/>
              <w:jc w:val="both"/>
              <w:rPr>
                <w:rFonts w:ascii="Times New Roman" w:hAnsi="Times New Roman"/>
                <w:i/>
                <w:sz w:val="20"/>
                <w:szCs w:val="20"/>
                <w:lang w:val="uk-UA" w:eastAsia="ru-RU"/>
              </w:rPr>
            </w:pPr>
            <w:r w:rsidRPr="004632DD">
              <w:rPr>
                <w:rFonts w:ascii="Times New Roman" w:hAnsi="Times New Roman"/>
                <w:i/>
                <w:sz w:val="20"/>
                <w:szCs w:val="20"/>
                <w:lang w:val="uk-UA" w:eastAsia="ru-RU"/>
              </w:rPr>
              <w:t xml:space="preserve"> *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C3B4E8E" w14:textId="77777777" w:rsidR="004632DD" w:rsidRPr="004632DD" w:rsidRDefault="004632DD" w:rsidP="00572413">
            <w:pPr>
              <w:jc w:val="center"/>
              <w:rPr>
                <w:b/>
                <w:strike/>
                <w:sz w:val="20"/>
                <w:szCs w:val="20"/>
              </w:rPr>
            </w:pPr>
          </w:p>
        </w:tc>
      </w:tr>
      <w:tr w:rsidR="004632DD" w:rsidRPr="004A7539" w14:paraId="51AE753E" w14:textId="77777777" w:rsidTr="00556FD8">
        <w:trPr>
          <w:trHeight w:val="20"/>
        </w:trPr>
        <w:tc>
          <w:tcPr>
            <w:tcW w:w="1985" w:type="dxa"/>
            <w:vAlign w:val="center"/>
          </w:tcPr>
          <w:p w14:paraId="19BB02DD" w14:textId="77777777" w:rsidR="004632DD" w:rsidRPr="004A7539" w:rsidRDefault="004632DD" w:rsidP="009373CF">
            <w:pPr>
              <w:ind w:left="-108" w:right="-108"/>
              <w:rPr>
                <w:b/>
                <w:sz w:val="20"/>
                <w:szCs w:val="20"/>
              </w:rPr>
            </w:pPr>
            <w:r w:rsidRPr="004A7539">
              <w:rPr>
                <w:b/>
                <w:sz w:val="20"/>
                <w:szCs w:val="20"/>
              </w:rPr>
              <w:lastRenderedPageBreak/>
              <w:t>п. 4.1.1. ч. 1 (Кінцевий строк подання тендерної пропозиції)</w:t>
            </w:r>
          </w:p>
        </w:tc>
        <w:tc>
          <w:tcPr>
            <w:tcW w:w="7371" w:type="dxa"/>
            <w:shd w:val="clear" w:color="auto" w:fill="auto"/>
            <w:vAlign w:val="center"/>
          </w:tcPr>
          <w:p w14:paraId="36698E02" w14:textId="77777777" w:rsidR="004632DD" w:rsidRPr="004632DD" w:rsidRDefault="004632DD" w:rsidP="004632DD">
            <w:pPr>
              <w:pStyle w:val="210"/>
              <w:ind w:right="100"/>
              <w:contextualSpacing/>
              <w:jc w:val="both"/>
              <w:rPr>
                <w:rFonts w:ascii="Times New Roman" w:hAnsi="Times New Roman"/>
                <w:strike/>
                <w:sz w:val="18"/>
                <w:szCs w:val="18"/>
                <w:lang w:val="uk-UA"/>
              </w:rPr>
            </w:pPr>
            <w:r w:rsidRPr="004632DD">
              <w:rPr>
                <w:rFonts w:ascii="Times New Roman" w:hAnsi="Times New Roman"/>
                <w:strike/>
                <w:sz w:val="18"/>
                <w:szCs w:val="18"/>
                <w:lang w:val="uk-UA"/>
              </w:rPr>
              <w:t xml:space="preserve">4.1.1. Кінцевий строк подання тендерних пропозицій (не менше ніж сім днів): </w:t>
            </w:r>
          </w:p>
          <w:p w14:paraId="0A79C5A3" w14:textId="77777777" w:rsidR="004632DD" w:rsidRPr="004632DD" w:rsidRDefault="004632DD" w:rsidP="004632DD">
            <w:pPr>
              <w:pStyle w:val="210"/>
              <w:ind w:right="100"/>
              <w:contextualSpacing/>
              <w:jc w:val="both"/>
              <w:rPr>
                <w:rFonts w:ascii="Times New Roman" w:hAnsi="Times New Roman"/>
                <w:strike/>
                <w:sz w:val="18"/>
                <w:szCs w:val="18"/>
                <w:lang w:val="uk-UA"/>
              </w:rPr>
            </w:pPr>
            <w:r w:rsidRPr="004632DD">
              <w:rPr>
                <w:rFonts w:ascii="Times New Roman" w:hAnsi="Times New Roman"/>
                <w:strike/>
                <w:sz w:val="18"/>
                <w:szCs w:val="18"/>
                <w:lang w:val="uk-UA"/>
              </w:rPr>
              <w:t>Дата - «02» лютого 2024 року</w:t>
            </w:r>
          </w:p>
          <w:p w14:paraId="7C9FA8B2" w14:textId="77777777" w:rsidR="004632DD" w:rsidRPr="004A7539" w:rsidRDefault="004632DD" w:rsidP="004632DD">
            <w:pPr>
              <w:pStyle w:val="210"/>
              <w:ind w:right="100"/>
              <w:contextualSpacing/>
              <w:jc w:val="both"/>
              <w:rPr>
                <w:rFonts w:ascii="Times New Roman" w:hAnsi="Times New Roman"/>
                <w:strike/>
                <w:sz w:val="18"/>
                <w:szCs w:val="18"/>
                <w:lang w:val="uk-UA"/>
              </w:rPr>
            </w:pPr>
            <w:r w:rsidRPr="004632DD">
              <w:rPr>
                <w:rFonts w:ascii="Times New Roman" w:hAnsi="Times New Roman"/>
                <w:strike/>
                <w:sz w:val="18"/>
                <w:szCs w:val="18"/>
                <w:lang w:val="uk-UA"/>
              </w:rPr>
              <w:t>Час – до 00:00 год.</w:t>
            </w:r>
          </w:p>
        </w:tc>
        <w:tc>
          <w:tcPr>
            <w:tcW w:w="7088" w:type="dxa"/>
            <w:vAlign w:val="center"/>
          </w:tcPr>
          <w:p w14:paraId="1417B47F" w14:textId="77777777" w:rsidR="004632DD" w:rsidRPr="004A7539" w:rsidRDefault="004632DD" w:rsidP="009373CF">
            <w:pPr>
              <w:pStyle w:val="a6"/>
              <w:spacing w:after="0"/>
              <w:ind w:right="100"/>
              <w:contextualSpacing/>
              <w:rPr>
                <w:rFonts w:ascii="Times New Roman" w:hAnsi="Times New Roman"/>
                <w:b/>
              </w:rPr>
            </w:pPr>
            <w:r w:rsidRPr="004A7539">
              <w:rPr>
                <w:rFonts w:ascii="Times New Roman" w:hAnsi="Times New Roman"/>
              </w:rPr>
              <w:t>4.1.1. Кінцевий строк подання тендерних пропозицій (не менше ніж сім днів):</w:t>
            </w:r>
            <w:r w:rsidRPr="004A7539">
              <w:rPr>
                <w:rFonts w:ascii="Times New Roman" w:hAnsi="Times New Roman"/>
                <w:b/>
              </w:rPr>
              <w:t xml:space="preserve"> </w:t>
            </w:r>
          </w:p>
          <w:p w14:paraId="6C741B1D" w14:textId="77777777" w:rsidR="004632DD" w:rsidRPr="004A7539" w:rsidRDefault="004632DD" w:rsidP="009373CF">
            <w:pPr>
              <w:pStyle w:val="a6"/>
              <w:spacing w:after="0"/>
              <w:ind w:right="100"/>
              <w:contextualSpacing/>
              <w:jc w:val="both"/>
              <w:rPr>
                <w:rFonts w:ascii="Times New Roman" w:hAnsi="Times New Roman"/>
                <w:b/>
              </w:rPr>
            </w:pPr>
            <w:r w:rsidRPr="004A7539">
              <w:rPr>
                <w:rFonts w:ascii="Times New Roman" w:hAnsi="Times New Roman"/>
                <w:b/>
              </w:rPr>
              <w:t>Дата - «</w:t>
            </w:r>
            <w:r>
              <w:rPr>
                <w:rFonts w:ascii="Times New Roman" w:hAnsi="Times New Roman"/>
                <w:b/>
              </w:rPr>
              <w:t>03</w:t>
            </w:r>
            <w:r w:rsidRPr="004A7539">
              <w:rPr>
                <w:rFonts w:ascii="Times New Roman" w:hAnsi="Times New Roman"/>
                <w:b/>
              </w:rPr>
              <w:t xml:space="preserve">» </w:t>
            </w:r>
            <w:r>
              <w:rPr>
                <w:rFonts w:ascii="Times New Roman" w:hAnsi="Times New Roman"/>
                <w:b/>
              </w:rPr>
              <w:t>лютого</w:t>
            </w:r>
            <w:r w:rsidRPr="004A7539">
              <w:rPr>
                <w:rFonts w:ascii="Times New Roman" w:hAnsi="Times New Roman"/>
                <w:b/>
              </w:rPr>
              <w:t xml:space="preserve"> 2024 року</w:t>
            </w:r>
          </w:p>
          <w:p w14:paraId="3D412378" w14:textId="77777777" w:rsidR="004632DD" w:rsidRPr="004A7539" w:rsidRDefault="004632DD" w:rsidP="009373CF">
            <w:pPr>
              <w:pStyle w:val="a6"/>
              <w:spacing w:after="0"/>
              <w:ind w:right="100"/>
              <w:contextualSpacing/>
              <w:jc w:val="both"/>
              <w:rPr>
                <w:rFonts w:ascii="Times New Roman" w:hAnsi="Times New Roman"/>
                <w:b/>
              </w:rPr>
            </w:pPr>
            <w:r w:rsidRPr="004A7539">
              <w:rPr>
                <w:rFonts w:ascii="Times New Roman" w:hAnsi="Times New Roman"/>
                <w:b/>
              </w:rPr>
              <w:t>Час – до 00:00 год.</w:t>
            </w:r>
          </w:p>
          <w:p w14:paraId="06FA76DB" w14:textId="77777777" w:rsidR="004632DD" w:rsidRPr="004A7539" w:rsidRDefault="004632DD" w:rsidP="009373CF">
            <w:pPr>
              <w:ind w:right="101"/>
              <w:contextualSpacing/>
              <w:jc w:val="both"/>
              <w:rPr>
                <w:lang w:eastAsia="zh-CN"/>
              </w:rPr>
            </w:pPr>
          </w:p>
        </w:tc>
      </w:tr>
    </w:tbl>
    <w:p w14:paraId="2CD4A284" w14:textId="77777777" w:rsidR="00FB4EE8" w:rsidRPr="004A7539" w:rsidRDefault="00FB4EE8" w:rsidP="008D3271">
      <w:pPr>
        <w:shd w:val="clear" w:color="auto" w:fill="FFFFFF"/>
        <w:tabs>
          <w:tab w:val="left" w:pos="720"/>
        </w:tabs>
        <w:rPr>
          <w:b/>
        </w:rPr>
      </w:pPr>
    </w:p>
    <w:p w14:paraId="746B775E" w14:textId="77777777" w:rsidR="00BD414B" w:rsidRPr="004A7539" w:rsidRDefault="00BD414B" w:rsidP="008D3271">
      <w:pPr>
        <w:shd w:val="clear" w:color="auto" w:fill="FFFFFF"/>
        <w:tabs>
          <w:tab w:val="left" w:pos="720"/>
        </w:tabs>
        <w:rPr>
          <w:b/>
        </w:rPr>
      </w:pPr>
    </w:p>
    <w:p w14:paraId="59CF540C" w14:textId="77777777" w:rsidR="008D3271" w:rsidRPr="004A7539" w:rsidRDefault="00BD414B" w:rsidP="008D3271">
      <w:pPr>
        <w:shd w:val="clear" w:color="auto" w:fill="FFFFFF"/>
        <w:tabs>
          <w:tab w:val="left" w:pos="720"/>
        </w:tabs>
        <w:rPr>
          <w:b/>
        </w:rPr>
      </w:pPr>
      <w:r w:rsidRPr="004A7539">
        <w:rPr>
          <w:b/>
        </w:rPr>
        <w:t xml:space="preserve">                       </w:t>
      </w:r>
      <w:r w:rsidR="00C86D12" w:rsidRPr="004A7539">
        <w:rPr>
          <w:b/>
        </w:rPr>
        <w:t>Уповноважена особа</w:t>
      </w:r>
      <w:r w:rsidR="00C86D12" w:rsidRPr="004A7539">
        <w:rPr>
          <w:b/>
        </w:rPr>
        <w:tab/>
      </w:r>
      <w:r w:rsidR="00C86D12" w:rsidRPr="004A7539">
        <w:rPr>
          <w:b/>
        </w:rPr>
        <w:tab/>
      </w:r>
      <w:r w:rsidR="00C86D12" w:rsidRPr="004A7539">
        <w:rPr>
          <w:b/>
        </w:rPr>
        <w:tab/>
      </w:r>
      <w:r w:rsidR="007311E9" w:rsidRPr="004A7539">
        <w:rPr>
          <w:b/>
          <w:bCs/>
          <w:spacing w:val="1"/>
        </w:rPr>
        <w:tab/>
      </w:r>
      <w:r w:rsidR="00C86D12" w:rsidRPr="004A7539">
        <w:rPr>
          <w:b/>
          <w:bCs/>
          <w:spacing w:val="1"/>
        </w:rPr>
        <w:tab/>
      </w:r>
      <w:r w:rsidR="008D3271" w:rsidRPr="004A7539">
        <w:rPr>
          <w:b/>
          <w:bCs/>
          <w:spacing w:val="1"/>
        </w:rPr>
        <w:t xml:space="preserve">_____________ </w:t>
      </w:r>
      <w:r w:rsidR="008D3271" w:rsidRPr="004A7539">
        <w:rPr>
          <w:b/>
          <w:bCs/>
          <w:spacing w:val="1"/>
        </w:rPr>
        <w:tab/>
      </w:r>
      <w:r w:rsidR="003F6CC1" w:rsidRPr="004A7539">
        <w:rPr>
          <w:b/>
          <w:bCs/>
          <w:spacing w:val="1"/>
        </w:rPr>
        <w:tab/>
      </w:r>
      <w:r w:rsidR="00DE4E7F" w:rsidRPr="004A7539">
        <w:rPr>
          <w:b/>
          <w:bCs/>
          <w:spacing w:val="1"/>
        </w:rPr>
        <w:tab/>
      </w:r>
      <w:r w:rsidR="00DE4E7F" w:rsidRPr="004A7539">
        <w:rPr>
          <w:b/>
          <w:bCs/>
          <w:spacing w:val="1"/>
        </w:rPr>
        <w:tab/>
      </w:r>
      <w:r w:rsidR="00DE4E7F" w:rsidRPr="004A7539">
        <w:rPr>
          <w:b/>
          <w:bCs/>
          <w:spacing w:val="1"/>
        </w:rPr>
        <w:tab/>
      </w:r>
      <w:r w:rsidR="004632DD" w:rsidRPr="006D15AD">
        <w:rPr>
          <w:rFonts w:cs="Calibri"/>
          <w:b/>
          <w:bdr w:val="none" w:sz="0" w:space="0" w:color="auto" w:frame="1"/>
        </w:rPr>
        <w:t>Савчук Лариса Дмитрівна</w:t>
      </w:r>
    </w:p>
    <w:p w14:paraId="01D836CA" w14:textId="77777777" w:rsidR="00732F4D" w:rsidRPr="004A7539" w:rsidRDefault="007311E9" w:rsidP="00917E62">
      <w:pPr>
        <w:shd w:val="clear" w:color="auto" w:fill="FFFFFF"/>
        <w:tabs>
          <w:tab w:val="left" w:pos="720"/>
        </w:tabs>
        <w:rPr>
          <w:b/>
          <w:bCs/>
          <w:spacing w:val="1"/>
        </w:rPr>
      </w:pPr>
      <w:r w:rsidRPr="004A7539">
        <w:rPr>
          <w:b/>
          <w:bCs/>
          <w:spacing w:val="1"/>
        </w:rPr>
        <w:tab/>
      </w:r>
      <w:r w:rsidRPr="004A7539">
        <w:rPr>
          <w:b/>
          <w:bCs/>
          <w:spacing w:val="1"/>
        </w:rPr>
        <w:tab/>
      </w:r>
      <w:r w:rsidRPr="004A7539">
        <w:rPr>
          <w:b/>
          <w:bCs/>
          <w:spacing w:val="1"/>
        </w:rPr>
        <w:tab/>
      </w:r>
      <w:r w:rsidRPr="004A7539">
        <w:rPr>
          <w:b/>
          <w:bCs/>
          <w:spacing w:val="1"/>
        </w:rPr>
        <w:tab/>
      </w:r>
      <w:r w:rsidRPr="004A7539">
        <w:rPr>
          <w:b/>
          <w:bCs/>
          <w:spacing w:val="1"/>
        </w:rPr>
        <w:tab/>
      </w:r>
      <w:r w:rsidR="00C86D12" w:rsidRPr="004A7539">
        <w:rPr>
          <w:b/>
          <w:bCs/>
          <w:spacing w:val="1"/>
        </w:rPr>
        <w:tab/>
      </w:r>
      <w:r w:rsidR="00C86D12" w:rsidRPr="004A7539">
        <w:rPr>
          <w:b/>
          <w:bCs/>
          <w:spacing w:val="1"/>
        </w:rPr>
        <w:tab/>
      </w:r>
      <w:r w:rsidR="00C86D12" w:rsidRPr="004A7539">
        <w:rPr>
          <w:b/>
          <w:bCs/>
          <w:spacing w:val="1"/>
        </w:rPr>
        <w:tab/>
      </w:r>
      <w:r w:rsidRPr="004A7539">
        <w:rPr>
          <w:b/>
          <w:bCs/>
          <w:spacing w:val="1"/>
        </w:rPr>
        <w:tab/>
      </w:r>
      <w:r w:rsidR="00BD414B" w:rsidRPr="004A7539">
        <w:rPr>
          <w:b/>
          <w:bCs/>
          <w:spacing w:val="1"/>
        </w:rPr>
        <w:t xml:space="preserve">             </w:t>
      </w:r>
      <w:proofErr w:type="spellStart"/>
      <w:r w:rsidR="008D3271" w:rsidRPr="004A7539">
        <w:rPr>
          <w:b/>
          <w:bCs/>
          <w:spacing w:val="1"/>
        </w:rPr>
        <w:t>м.п</w:t>
      </w:r>
      <w:proofErr w:type="spellEnd"/>
      <w:r w:rsidR="008D3271" w:rsidRPr="004A7539">
        <w:rPr>
          <w:b/>
          <w:bCs/>
          <w:spacing w:val="1"/>
        </w:rPr>
        <w:t>.</w:t>
      </w:r>
    </w:p>
    <w:sectPr w:rsidR="00732F4D" w:rsidRPr="004A7539" w:rsidSect="004C3930">
      <w:pgSz w:w="16838" w:h="11906" w:orient="landscape"/>
      <w:pgMar w:top="902" w:right="720" w:bottom="142"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4BE19D1"/>
    <w:multiLevelType w:val="hybridMultilevel"/>
    <w:tmpl w:val="4D74BF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EC657B6"/>
    <w:multiLevelType w:val="hybridMultilevel"/>
    <w:tmpl w:val="4D74BFEA"/>
    <w:name w:val="WW8Num2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83059"/>
    <w:rsid w:val="000B0FBF"/>
    <w:rsid w:val="000F43AD"/>
    <w:rsid w:val="00103B01"/>
    <w:rsid w:val="0010777D"/>
    <w:rsid w:val="001138C4"/>
    <w:rsid w:val="0018155E"/>
    <w:rsid w:val="001C0CCB"/>
    <w:rsid w:val="001C3C2A"/>
    <w:rsid w:val="001E43B4"/>
    <w:rsid w:val="001F1ED7"/>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632DD"/>
    <w:rsid w:val="00487F19"/>
    <w:rsid w:val="004924A9"/>
    <w:rsid w:val="0049446D"/>
    <w:rsid w:val="004A7539"/>
    <w:rsid w:val="004B71E5"/>
    <w:rsid w:val="004C3930"/>
    <w:rsid w:val="004E24AC"/>
    <w:rsid w:val="00502010"/>
    <w:rsid w:val="005235DC"/>
    <w:rsid w:val="00556FD8"/>
    <w:rsid w:val="00563A07"/>
    <w:rsid w:val="0056610B"/>
    <w:rsid w:val="005B3093"/>
    <w:rsid w:val="005D2E95"/>
    <w:rsid w:val="005E38E8"/>
    <w:rsid w:val="00637112"/>
    <w:rsid w:val="00661670"/>
    <w:rsid w:val="006B7F5F"/>
    <w:rsid w:val="006D0CAA"/>
    <w:rsid w:val="00722404"/>
    <w:rsid w:val="007311E9"/>
    <w:rsid w:val="00732F4D"/>
    <w:rsid w:val="007400F2"/>
    <w:rsid w:val="007820A2"/>
    <w:rsid w:val="007D45B6"/>
    <w:rsid w:val="007F3ADF"/>
    <w:rsid w:val="00800738"/>
    <w:rsid w:val="00807859"/>
    <w:rsid w:val="00815A8A"/>
    <w:rsid w:val="008215E0"/>
    <w:rsid w:val="00836DDD"/>
    <w:rsid w:val="00845E21"/>
    <w:rsid w:val="00874822"/>
    <w:rsid w:val="008D3271"/>
    <w:rsid w:val="0091401F"/>
    <w:rsid w:val="00916334"/>
    <w:rsid w:val="00917E62"/>
    <w:rsid w:val="00932211"/>
    <w:rsid w:val="009373CF"/>
    <w:rsid w:val="009705DF"/>
    <w:rsid w:val="009822A9"/>
    <w:rsid w:val="00991CD6"/>
    <w:rsid w:val="009C73E1"/>
    <w:rsid w:val="009E6795"/>
    <w:rsid w:val="00A24DB4"/>
    <w:rsid w:val="00A27F4C"/>
    <w:rsid w:val="00A441F5"/>
    <w:rsid w:val="00A83C45"/>
    <w:rsid w:val="00A86111"/>
    <w:rsid w:val="00AB71BB"/>
    <w:rsid w:val="00AC7304"/>
    <w:rsid w:val="00AF49AE"/>
    <w:rsid w:val="00B02C0A"/>
    <w:rsid w:val="00B14D84"/>
    <w:rsid w:val="00B228EE"/>
    <w:rsid w:val="00B56D48"/>
    <w:rsid w:val="00B94A48"/>
    <w:rsid w:val="00B97EF6"/>
    <w:rsid w:val="00BD414B"/>
    <w:rsid w:val="00C86D12"/>
    <w:rsid w:val="00C9049B"/>
    <w:rsid w:val="00C9455C"/>
    <w:rsid w:val="00CA1A8B"/>
    <w:rsid w:val="00CF6793"/>
    <w:rsid w:val="00D03589"/>
    <w:rsid w:val="00D12994"/>
    <w:rsid w:val="00D17B92"/>
    <w:rsid w:val="00DB2775"/>
    <w:rsid w:val="00DC57B4"/>
    <w:rsid w:val="00DE4E7F"/>
    <w:rsid w:val="00E422BC"/>
    <w:rsid w:val="00E56148"/>
    <w:rsid w:val="00E71699"/>
    <w:rsid w:val="00E91417"/>
    <w:rsid w:val="00EA6930"/>
    <w:rsid w:val="00EA71FA"/>
    <w:rsid w:val="00EB05AC"/>
    <w:rsid w:val="00EE479C"/>
    <w:rsid w:val="00F134B7"/>
    <w:rsid w:val="00F256AE"/>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D38D"/>
  <w15:docId w15:val="{A7A7A4A2-BCF0-4A9C-84DA-761C39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nhideWhenUsed/>
    <w:rsid w:val="00BD414B"/>
    <w:rPr>
      <w:rFonts w:ascii="Segoe UI" w:hAnsi="Segoe UI" w:cs="Segoe UI"/>
      <w:sz w:val="18"/>
      <w:szCs w:val="18"/>
    </w:rPr>
  </w:style>
  <w:style w:type="character" w:customStyle="1" w:styleId="ad">
    <w:name w:val="Текст выноски Знак"/>
    <w:basedOn w:val="a0"/>
    <w:link w:val="ac"/>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semiHidden/>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Body Text Indent"/>
    <w:basedOn w:val="a"/>
    <w:link w:val="af3"/>
    <w:uiPriority w:val="99"/>
    <w:semiHidden/>
    <w:unhideWhenUsed/>
    <w:rsid w:val="00556FD8"/>
    <w:pPr>
      <w:spacing w:after="120"/>
      <w:ind w:left="283"/>
    </w:pPr>
  </w:style>
  <w:style w:type="character" w:customStyle="1" w:styleId="af3">
    <w:name w:val="Основной текст с отступом Знак"/>
    <w:basedOn w:val="a0"/>
    <w:link w:val="af2"/>
    <w:uiPriority w:val="99"/>
    <w:semiHidden/>
    <w:rsid w:val="00556FD8"/>
    <w:rPr>
      <w:rFonts w:ascii="Times New Roman" w:eastAsia="Times New Roman" w:hAnsi="Times New Roman"/>
      <w:sz w:val="24"/>
      <w:szCs w:val="24"/>
      <w:lang w:val="uk-UA" w:eastAsia="ar-SA"/>
    </w:rPr>
  </w:style>
  <w:style w:type="paragraph" w:customStyle="1" w:styleId="15">
    <w:name w:val="Заголовок1"/>
    <w:basedOn w:val="a"/>
    <w:next w:val="af0"/>
    <w:rsid w:val="001C3C2A"/>
    <w:pPr>
      <w:keepNext/>
      <w:spacing w:before="240" w:after="120" w:line="276" w:lineRule="auto"/>
    </w:pPr>
    <w:rPr>
      <w:rFonts w:ascii="Arial" w:eastAsia="Microsoft YaHei" w:hAnsi="Arial" w:cs="Arial"/>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DE2F-F55C-4E85-90A9-117B12A9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Savchuk</cp:lastModifiedBy>
  <cp:revision>111</cp:revision>
  <cp:lastPrinted>2023-12-01T12:29:00Z</cp:lastPrinted>
  <dcterms:created xsi:type="dcterms:W3CDTF">2020-03-25T13:50:00Z</dcterms:created>
  <dcterms:modified xsi:type="dcterms:W3CDTF">2024-01-29T11:28:00Z</dcterms:modified>
</cp:coreProperties>
</file>