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665173" w:rsidRPr="0073596C" w:rsidRDefault="00AD5C99" w:rsidP="00665173">
      <w:pPr>
        <w:pStyle w:val="af"/>
        <w:spacing w:before="0" w:beforeAutospacing="0" w:after="0" w:afterAutospacing="0"/>
        <w:ind w:firstLine="567"/>
        <w:jc w:val="both"/>
      </w:pPr>
      <w:r w:rsidRPr="0073596C">
        <w:rPr>
          <w:b/>
        </w:rPr>
        <w:t xml:space="preserve">1. </w:t>
      </w:r>
      <w:r w:rsidR="009359B7" w:rsidRPr="0073596C">
        <w:rPr>
          <w:b/>
        </w:rPr>
        <w:t xml:space="preserve">Найменування державного замовника, його код ЄДРПОУ, юридична та фактична адреса, електронна адреса: </w:t>
      </w:r>
      <w:r w:rsidR="00665173" w:rsidRPr="0073596C">
        <w:t>військова частина А3723, (с. Лютіж), ідентифікаційний код 22999932.</w:t>
      </w:r>
    </w:p>
    <w:p w:rsidR="00AD5C99" w:rsidRPr="0073596C" w:rsidRDefault="00AD5C99" w:rsidP="008B3C8E">
      <w:pPr>
        <w:pStyle w:val="af"/>
        <w:spacing w:before="0" w:beforeAutospacing="0" w:after="0" w:afterAutospacing="0"/>
        <w:ind w:firstLine="567"/>
        <w:jc w:val="both"/>
        <w:rPr>
          <w:b/>
        </w:rPr>
      </w:pPr>
    </w:p>
    <w:p w:rsidR="00575559" w:rsidRPr="000817D7" w:rsidRDefault="009359B7" w:rsidP="000817D7">
      <w:pPr>
        <w:pStyle w:val="Default"/>
        <w:jc w:val="both"/>
        <w:rPr>
          <w:sz w:val="23"/>
          <w:szCs w:val="23"/>
          <w:lang w:val="uk-UA"/>
        </w:rPr>
      </w:pPr>
      <w:r w:rsidRPr="000817D7">
        <w:rPr>
          <w:b/>
          <w:lang w:val="uk-UA"/>
        </w:rPr>
        <w:t>2. Найменування предмета закупівлі, код відповідно до державного класифікатора, що діє на день проведення закупівлі:</w:t>
      </w:r>
      <w:r w:rsidR="00343F8A" w:rsidRPr="000817D7">
        <w:rPr>
          <w:bCs/>
          <w:lang w:val="uk-UA"/>
        </w:rPr>
        <w:t>Зачищення резервуарів, дег</w:t>
      </w:r>
      <w:r w:rsidR="000817D7" w:rsidRPr="000817D7">
        <w:rPr>
          <w:bCs/>
          <w:lang w:val="uk-UA"/>
        </w:rPr>
        <w:t>а</w:t>
      </w:r>
      <w:r w:rsidR="00343F8A" w:rsidRPr="000817D7">
        <w:rPr>
          <w:bCs/>
          <w:lang w:val="uk-UA"/>
        </w:rPr>
        <w:t>зація резервуарів, дефектоскопія резервуарів, кал</w:t>
      </w:r>
      <w:r w:rsidR="000817D7" w:rsidRPr="000817D7">
        <w:rPr>
          <w:bCs/>
          <w:lang w:val="uk-UA"/>
        </w:rPr>
        <w:t>і</w:t>
      </w:r>
      <w:r w:rsidR="00343F8A" w:rsidRPr="000817D7">
        <w:rPr>
          <w:bCs/>
          <w:lang w:val="uk-UA"/>
        </w:rPr>
        <w:t>брування резервуарів з затвердженням гранульованих таблиць, герметизація горловин</w:t>
      </w:r>
      <w:r w:rsidR="0038173B" w:rsidRPr="000817D7">
        <w:rPr>
          <w:bCs/>
          <w:lang w:val="uk-UA"/>
        </w:rPr>
        <w:t>, код ДК 021:2015 (</w:t>
      </w:r>
      <w:r w:rsidR="00A75A0E" w:rsidRPr="000817D7">
        <w:rPr>
          <w:bCs/>
          <w:lang w:val="uk-UA"/>
        </w:rPr>
        <w:t>5051</w:t>
      </w:r>
      <w:r w:rsidR="000817D7">
        <w:rPr>
          <w:bCs/>
          <w:lang w:val="uk-UA"/>
        </w:rPr>
        <w:t>00</w:t>
      </w:r>
      <w:r w:rsidR="00A75A0E" w:rsidRPr="000817D7">
        <w:rPr>
          <w:bCs/>
          <w:lang w:val="uk-UA"/>
        </w:rPr>
        <w:t>00-3</w:t>
      </w:r>
      <w:r w:rsidR="0038173B" w:rsidRPr="000817D7">
        <w:rPr>
          <w:bCs/>
          <w:lang w:val="uk-UA"/>
        </w:rPr>
        <w:t xml:space="preserve"> «</w:t>
      </w:r>
      <w:r w:rsidR="000817D7" w:rsidRPr="000817D7">
        <w:rPr>
          <w:sz w:val="23"/>
          <w:szCs w:val="23"/>
          <w:lang w:val="uk-UA"/>
        </w:rPr>
        <w:t>Послуги з ремонту і технічного обслуговування насосів, клапанів, кранів і металевих контейнерів</w:t>
      </w:r>
      <w:r w:rsidR="0038173B" w:rsidRPr="000817D7">
        <w:rPr>
          <w:bCs/>
          <w:lang w:val="uk-UA"/>
        </w:rPr>
        <w:t>»)</w:t>
      </w:r>
      <w:r w:rsidR="006C2560" w:rsidRPr="000817D7">
        <w:rPr>
          <w:lang w:val="uk-UA"/>
        </w:rPr>
        <w:t>.</w:t>
      </w:r>
    </w:p>
    <w:p w:rsidR="00AD5C99" w:rsidRPr="0073596C" w:rsidRDefault="00AD5C99" w:rsidP="008B3C8E">
      <w:pPr>
        <w:pStyle w:val="af"/>
        <w:spacing w:before="0" w:beforeAutospacing="0" w:after="0" w:afterAutospacing="0"/>
        <w:ind w:firstLine="567"/>
        <w:jc w:val="both"/>
      </w:pPr>
    </w:p>
    <w:p w:rsidR="004B47A6" w:rsidRPr="0073596C" w:rsidRDefault="009359B7" w:rsidP="008B3C8E">
      <w:pPr>
        <w:pStyle w:val="af"/>
        <w:spacing w:before="0" w:beforeAutospacing="0" w:after="0" w:afterAutospacing="0"/>
        <w:ind w:firstLine="567"/>
        <w:jc w:val="both"/>
      </w:pPr>
      <w:r w:rsidRPr="0073596C">
        <w:rPr>
          <w:b/>
        </w:rPr>
        <w:t xml:space="preserve">3. Технічні, якісні та інші вимоги до предмета закупівлі: </w:t>
      </w:r>
      <w:r w:rsidR="00BC7E6C" w:rsidRPr="0073596C">
        <w:t>у відповідності до Додатку № 3</w:t>
      </w:r>
      <w:r w:rsidR="004B47A6" w:rsidRPr="0073596C">
        <w:t xml:space="preserve"> Оголошення.</w:t>
      </w:r>
      <w:r w:rsidR="004B47A6" w:rsidRPr="0073596C">
        <w:tab/>
      </w:r>
    </w:p>
    <w:p w:rsidR="00AD5C99" w:rsidRPr="0073596C" w:rsidRDefault="00AD5C99" w:rsidP="008B3C8E">
      <w:pPr>
        <w:pStyle w:val="af"/>
        <w:spacing w:before="0" w:beforeAutospacing="0" w:after="0" w:afterAutospacing="0"/>
        <w:ind w:firstLine="567"/>
        <w:jc w:val="both"/>
      </w:pPr>
    </w:p>
    <w:p w:rsidR="0038173B" w:rsidRPr="0073596C" w:rsidRDefault="004B47A6" w:rsidP="0038173B">
      <w:pPr>
        <w:pStyle w:val="212"/>
        <w:widowControl w:val="0"/>
        <w:rPr>
          <w:b/>
          <w:sz w:val="24"/>
          <w:szCs w:val="24"/>
        </w:rPr>
      </w:pPr>
      <w:r w:rsidRPr="0073596C">
        <w:rPr>
          <w:b/>
          <w:sz w:val="24"/>
          <w:szCs w:val="24"/>
        </w:rPr>
        <w:t xml:space="preserve">4. </w:t>
      </w:r>
      <w:r w:rsidR="00326152" w:rsidRPr="0073596C">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rsidR="004B764E" w:rsidRPr="0073596C" w:rsidRDefault="004B764E" w:rsidP="0038173B">
      <w:pPr>
        <w:pStyle w:val="212"/>
        <w:widowControl w:val="0"/>
        <w:rPr>
          <w:b/>
          <w:sz w:val="24"/>
          <w:szCs w:val="24"/>
        </w:rPr>
      </w:pPr>
    </w:p>
    <w:p w:rsidR="004B764E" w:rsidRPr="0073596C" w:rsidRDefault="004B764E" w:rsidP="004B764E">
      <w:pPr>
        <w:pStyle w:val="212"/>
        <w:widowControl w:val="0"/>
        <w:ind w:firstLine="0"/>
        <w:rPr>
          <w:sz w:val="24"/>
          <w:szCs w:val="24"/>
        </w:rPr>
      </w:pPr>
      <w:r w:rsidRPr="0073596C">
        <w:rPr>
          <w:sz w:val="24"/>
          <w:szCs w:val="24"/>
        </w:rPr>
        <w:t xml:space="preserve">Київська область, Вишгородський район, с. Лютіж, </w:t>
      </w:r>
      <w:r w:rsidR="000817D7">
        <w:rPr>
          <w:sz w:val="24"/>
          <w:szCs w:val="24"/>
        </w:rPr>
        <w:t>урочище «</w:t>
      </w:r>
      <w:r w:rsidRPr="0073596C">
        <w:rPr>
          <w:sz w:val="24"/>
          <w:szCs w:val="24"/>
        </w:rPr>
        <w:t>Гора</w:t>
      </w:r>
      <w:r w:rsidR="000817D7">
        <w:rPr>
          <w:sz w:val="24"/>
          <w:szCs w:val="24"/>
        </w:rPr>
        <w:t>», 1</w:t>
      </w:r>
    </w:p>
    <w:p w:rsidR="00AF6BEB" w:rsidRPr="0073596C" w:rsidRDefault="00AF6BEB" w:rsidP="000817D7">
      <w:pPr>
        <w:pStyle w:val="212"/>
        <w:widowControl w:val="0"/>
        <w:numPr>
          <w:ilvl w:val="0"/>
          <w:numId w:val="15"/>
        </w:numPr>
        <w:ind w:left="426"/>
        <w:rPr>
          <w:sz w:val="24"/>
          <w:szCs w:val="24"/>
        </w:rPr>
      </w:pPr>
      <w:r w:rsidRPr="0073596C">
        <w:rPr>
          <w:sz w:val="24"/>
          <w:szCs w:val="24"/>
        </w:rPr>
        <w:t>Демонтаж/монтаж люка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CD4FAF" w:rsidRPr="0073596C" w:rsidRDefault="00CD4FAF" w:rsidP="000817D7">
      <w:pPr>
        <w:pStyle w:val="212"/>
        <w:widowControl w:val="0"/>
        <w:numPr>
          <w:ilvl w:val="0"/>
          <w:numId w:val="15"/>
        </w:numPr>
        <w:ind w:left="426"/>
        <w:rPr>
          <w:sz w:val="24"/>
          <w:szCs w:val="24"/>
        </w:rPr>
      </w:pPr>
      <w:r w:rsidRPr="0073596C">
        <w:rPr>
          <w:sz w:val="24"/>
          <w:szCs w:val="24"/>
        </w:rPr>
        <w:t>Перекачування пального з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0817D7" w:rsidRDefault="00AF6BEB" w:rsidP="000817D7">
      <w:pPr>
        <w:pStyle w:val="212"/>
        <w:widowControl w:val="0"/>
        <w:numPr>
          <w:ilvl w:val="0"/>
          <w:numId w:val="15"/>
        </w:numPr>
        <w:ind w:left="426"/>
        <w:rPr>
          <w:sz w:val="24"/>
          <w:szCs w:val="24"/>
        </w:rPr>
      </w:pPr>
      <w:r w:rsidRPr="000817D7">
        <w:rPr>
          <w:sz w:val="24"/>
          <w:szCs w:val="24"/>
        </w:rPr>
        <w:t>Зачищення резервуару об’ємом 8 м</w:t>
      </w:r>
      <w:r w:rsidRPr="000817D7">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t>3</w:t>
      </w:r>
      <w:r w:rsidR="000817D7" w:rsidRPr="000817D7">
        <w:rPr>
          <w:sz w:val="24"/>
          <w:szCs w:val="24"/>
        </w:rPr>
        <w:t>послуг</w:t>
      </w:r>
      <w:r w:rsidR="000817D7">
        <w:rPr>
          <w:sz w:val="24"/>
          <w:szCs w:val="24"/>
        </w:rPr>
        <w:t>и</w:t>
      </w:r>
    </w:p>
    <w:p w:rsidR="00AF6BEB" w:rsidRPr="000817D7" w:rsidRDefault="00AF6BEB" w:rsidP="000817D7">
      <w:pPr>
        <w:pStyle w:val="212"/>
        <w:widowControl w:val="0"/>
        <w:numPr>
          <w:ilvl w:val="0"/>
          <w:numId w:val="15"/>
        </w:numPr>
        <w:ind w:left="426"/>
        <w:rPr>
          <w:sz w:val="24"/>
          <w:szCs w:val="24"/>
        </w:rPr>
      </w:pPr>
      <w:r w:rsidRPr="000817D7">
        <w:rPr>
          <w:sz w:val="24"/>
          <w:szCs w:val="24"/>
        </w:rPr>
        <w:t>Зачищення резервуару об’ємом 10 м</w:t>
      </w:r>
      <w:r w:rsidRPr="000817D7">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Pr="000817D7">
        <w:rPr>
          <w:sz w:val="24"/>
          <w:szCs w:val="24"/>
        </w:rPr>
        <w:t xml:space="preserve">5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Зачищення резервуару об’ємом 20 м</w:t>
      </w:r>
      <w:r w:rsidRPr="0073596C">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Pr="0073596C">
        <w:rPr>
          <w:sz w:val="24"/>
          <w:szCs w:val="24"/>
        </w:rPr>
        <w:t xml:space="preserve">2 </w:t>
      </w:r>
      <w:r w:rsidR="000817D7">
        <w:rPr>
          <w:sz w:val="24"/>
          <w:szCs w:val="24"/>
        </w:rPr>
        <w:t>послуги</w:t>
      </w:r>
    </w:p>
    <w:p w:rsidR="00AF6BEB" w:rsidRPr="0073596C" w:rsidRDefault="00AF6BEB" w:rsidP="000817D7">
      <w:pPr>
        <w:pStyle w:val="212"/>
        <w:widowControl w:val="0"/>
        <w:numPr>
          <w:ilvl w:val="0"/>
          <w:numId w:val="15"/>
        </w:numPr>
        <w:ind w:left="426"/>
        <w:rPr>
          <w:sz w:val="24"/>
          <w:szCs w:val="24"/>
        </w:rPr>
      </w:pPr>
      <w:r w:rsidRPr="0073596C">
        <w:rPr>
          <w:sz w:val="24"/>
          <w:szCs w:val="24"/>
        </w:rPr>
        <w:t>Зачищення резервуару об’ємом 25 м</w:t>
      </w:r>
      <w:r w:rsidRPr="0073596C">
        <w:rPr>
          <w:sz w:val="24"/>
          <w:szCs w:val="24"/>
          <w:vertAlign w:val="superscript"/>
        </w:rPr>
        <w:t>3</w:t>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000817D7">
        <w:rPr>
          <w:sz w:val="24"/>
          <w:szCs w:val="24"/>
        </w:rPr>
        <w:tab/>
      </w:r>
      <w:r w:rsidRPr="0073596C">
        <w:rPr>
          <w:sz w:val="24"/>
          <w:szCs w:val="24"/>
        </w:rPr>
        <w:t xml:space="preserve">9 </w:t>
      </w:r>
      <w:r w:rsidR="000817D7">
        <w:rPr>
          <w:sz w:val="24"/>
          <w:szCs w:val="24"/>
        </w:rPr>
        <w:t>послуг</w:t>
      </w:r>
      <w:r w:rsidRPr="0073596C">
        <w:rPr>
          <w:sz w:val="24"/>
          <w:szCs w:val="24"/>
        </w:rPr>
        <w:t>.</w:t>
      </w:r>
    </w:p>
    <w:p w:rsidR="00AF6BEB" w:rsidRPr="0073596C" w:rsidRDefault="00AF6BEB" w:rsidP="000817D7">
      <w:pPr>
        <w:pStyle w:val="212"/>
        <w:widowControl w:val="0"/>
        <w:numPr>
          <w:ilvl w:val="0"/>
          <w:numId w:val="15"/>
        </w:numPr>
        <w:ind w:left="426"/>
        <w:rPr>
          <w:sz w:val="24"/>
          <w:szCs w:val="24"/>
        </w:rPr>
      </w:pPr>
      <w:r w:rsidRPr="0073596C">
        <w:rPr>
          <w:sz w:val="24"/>
          <w:szCs w:val="24"/>
        </w:rPr>
        <w:t>Дегазація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Дефектоскопія резервуару об’ємом 8 м</w:t>
      </w:r>
      <w:r w:rsidRPr="0073596C">
        <w:rPr>
          <w:sz w:val="24"/>
          <w:szCs w:val="24"/>
          <w:vertAlign w:val="superscript"/>
        </w:rPr>
        <w:t>3</w:t>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rPr>
        <w:t xml:space="preserve">3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Дефектоскопія резервуару об’ємом 10 м</w:t>
      </w:r>
      <w:r w:rsidRPr="0073596C">
        <w:rPr>
          <w:sz w:val="24"/>
          <w:szCs w:val="24"/>
          <w:vertAlign w:val="superscript"/>
        </w:rPr>
        <w:t>3</w:t>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rPr>
        <w:t xml:space="preserve">5 </w:t>
      </w:r>
      <w:r w:rsidR="000817D7">
        <w:rPr>
          <w:sz w:val="24"/>
          <w:szCs w:val="24"/>
        </w:rPr>
        <w:t>послуг</w:t>
      </w:r>
    </w:p>
    <w:p w:rsidR="00AF6BEB" w:rsidRPr="0073596C" w:rsidRDefault="00AF6BEB" w:rsidP="000817D7">
      <w:pPr>
        <w:pStyle w:val="212"/>
        <w:widowControl w:val="0"/>
        <w:numPr>
          <w:ilvl w:val="0"/>
          <w:numId w:val="15"/>
        </w:numPr>
        <w:ind w:left="426"/>
        <w:rPr>
          <w:sz w:val="24"/>
          <w:szCs w:val="24"/>
        </w:rPr>
      </w:pPr>
      <w:r w:rsidRPr="0073596C">
        <w:rPr>
          <w:sz w:val="24"/>
          <w:szCs w:val="24"/>
        </w:rPr>
        <w:t>Дефектоскопія резервуару об’ємом 20 м</w:t>
      </w:r>
      <w:r w:rsidRPr="0073596C">
        <w:rPr>
          <w:sz w:val="24"/>
          <w:szCs w:val="24"/>
          <w:vertAlign w:val="superscript"/>
        </w:rPr>
        <w:t>3</w:t>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vertAlign w:val="superscript"/>
        </w:rPr>
        <w:tab/>
      </w:r>
      <w:r w:rsidRPr="0073596C">
        <w:rPr>
          <w:sz w:val="24"/>
          <w:szCs w:val="24"/>
        </w:rPr>
        <w:t xml:space="preserve">2 </w:t>
      </w:r>
      <w:r w:rsidR="000817D7">
        <w:rPr>
          <w:sz w:val="24"/>
          <w:szCs w:val="24"/>
        </w:rPr>
        <w:t>послуги</w:t>
      </w:r>
    </w:p>
    <w:p w:rsidR="000817D7" w:rsidRDefault="00AF6BEB" w:rsidP="000817D7">
      <w:pPr>
        <w:pStyle w:val="212"/>
        <w:widowControl w:val="0"/>
        <w:numPr>
          <w:ilvl w:val="0"/>
          <w:numId w:val="15"/>
        </w:numPr>
        <w:ind w:left="426"/>
        <w:rPr>
          <w:sz w:val="24"/>
          <w:szCs w:val="24"/>
        </w:rPr>
      </w:pPr>
      <w:r w:rsidRPr="000817D7">
        <w:rPr>
          <w:sz w:val="24"/>
          <w:szCs w:val="24"/>
        </w:rPr>
        <w:t>Дефектоскопія резервуару об’ємом 25 м</w:t>
      </w:r>
      <w:r w:rsidRPr="000817D7">
        <w:rPr>
          <w:sz w:val="24"/>
          <w:szCs w:val="24"/>
          <w:vertAlign w:val="superscript"/>
        </w:rPr>
        <w:t>3</w:t>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vertAlign w:val="superscript"/>
        </w:rPr>
        <w:tab/>
      </w:r>
      <w:r w:rsidRPr="000817D7">
        <w:rPr>
          <w:sz w:val="24"/>
          <w:szCs w:val="24"/>
        </w:rPr>
        <w:t xml:space="preserve">9 </w:t>
      </w:r>
      <w:r w:rsidR="000817D7">
        <w:rPr>
          <w:sz w:val="24"/>
          <w:szCs w:val="24"/>
        </w:rPr>
        <w:t>послуг</w:t>
      </w:r>
    </w:p>
    <w:p w:rsidR="00AF6BEB" w:rsidRPr="000817D7" w:rsidRDefault="00AF6BEB" w:rsidP="000817D7">
      <w:pPr>
        <w:pStyle w:val="212"/>
        <w:widowControl w:val="0"/>
        <w:numPr>
          <w:ilvl w:val="0"/>
          <w:numId w:val="15"/>
        </w:numPr>
        <w:ind w:left="426"/>
        <w:rPr>
          <w:sz w:val="24"/>
          <w:szCs w:val="24"/>
        </w:rPr>
      </w:pPr>
      <w:r w:rsidRPr="000817D7">
        <w:rPr>
          <w:sz w:val="24"/>
          <w:szCs w:val="24"/>
        </w:rPr>
        <w:t>Калібрування резервуарів з затвердженням гранувальних таблиці в ЦСМ</w:t>
      </w:r>
      <w:r w:rsidRPr="000817D7">
        <w:rPr>
          <w:sz w:val="24"/>
          <w:szCs w:val="24"/>
        </w:rPr>
        <w:tab/>
        <w:t xml:space="preserve">19 </w:t>
      </w:r>
      <w:r w:rsidR="000817D7">
        <w:rPr>
          <w:sz w:val="24"/>
          <w:szCs w:val="24"/>
        </w:rPr>
        <w:t>послуг</w:t>
      </w:r>
    </w:p>
    <w:p w:rsidR="00AF6BEB" w:rsidRPr="0073596C" w:rsidRDefault="00CD4FAF" w:rsidP="000817D7">
      <w:pPr>
        <w:pStyle w:val="212"/>
        <w:widowControl w:val="0"/>
        <w:numPr>
          <w:ilvl w:val="0"/>
          <w:numId w:val="15"/>
        </w:numPr>
        <w:ind w:left="426"/>
        <w:rPr>
          <w:sz w:val="24"/>
          <w:szCs w:val="24"/>
        </w:rPr>
      </w:pPr>
      <w:r w:rsidRPr="0073596C">
        <w:rPr>
          <w:sz w:val="24"/>
          <w:szCs w:val="24"/>
        </w:rPr>
        <w:t>Герметизація горловини люка резервуарів</w:t>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r>
      <w:r w:rsidRPr="0073596C">
        <w:rPr>
          <w:sz w:val="24"/>
          <w:szCs w:val="24"/>
        </w:rPr>
        <w:tab/>
        <w:t xml:space="preserve">19 </w:t>
      </w:r>
      <w:r w:rsidR="000817D7">
        <w:rPr>
          <w:sz w:val="24"/>
          <w:szCs w:val="24"/>
        </w:rPr>
        <w:t>послуг</w:t>
      </w:r>
    </w:p>
    <w:p w:rsidR="00AF6BEB" w:rsidRPr="0073596C" w:rsidRDefault="00AF6BEB" w:rsidP="00CD4FAF">
      <w:pPr>
        <w:pStyle w:val="212"/>
        <w:widowControl w:val="0"/>
        <w:ind w:firstLine="0"/>
        <w:rPr>
          <w:sz w:val="24"/>
          <w:szCs w:val="24"/>
        </w:rPr>
      </w:pPr>
    </w:p>
    <w:p w:rsidR="00AD5C99" w:rsidRPr="0073596C" w:rsidRDefault="00AD5C99" w:rsidP="00326152">
      <w:pPr>
        <w:ind w:firstLine="567"/>
        <w:jc w:val="both"/>
        <w:rPr>
          <w:b/>
          <w:sz w:val="24"/>
          <w:szCs w:val="24"/>
          <w:lang w:val="uk-UA"/>
        </w:rPr>
      </w:pPr>
    </w:p>
    <w:p w:rsidR="004B47A6" w:rsidRPr="0073596C" w:rsidRDefault="004B47A6" w:rsidP="000817D7">
      <w:pPr>
        <w:pStyle w:val="af"/>
        <w:spacing w:before="0" w:beforeAutospacing="0" w:after="0" w:afterAutospacing="0"/>
        <w:ind w:firstLine="567"/>
        <w:jc w:val="both"/>
      </w:pPr>
      <w:r w:rsidRPr="0073596C">
        <w:rPr>
          <w:b/>
        </w:rPr>
        <w:t>5. Строк поставки товарів, виконання робіт, надання послуг</w:t>
      </w:r>
      <w:r w:rsidR="00204F9A" w:rsidRPr="0073596C">
        <w:t>:</w:t>
      </w:r>
      <w:r w:rsidR="000817D7">
        <w:t xml:space="preserve"> протягом 30 календарних днів </w:t>
      </w:r>
      <w:r w:rsidR="002F4775" w:rsidRPr="0073596C">
        <w:t>з моменту підписання договору</w:t>
      </w:r>
      <w:r w:rsidR="00CD4FAF" w:rsidRPr="0073596C">
        <w:t>,  30 календарних днів.</w:t>
      </w:r>
    </w:p>
    <w:p w:rsidR="00AD5C99" w:rsidRPr="0073596C" w:rsidRDefault="00AD5C99" w:rsidP="008B3C8E">
      <w:pPr>
        <w:pStyle w:val="af"/>
        <w:spacing w:before="0" w:beforeAutospacing="0" w:after="0" w:afterAutospacing="0"/>
        <w:ind w:firstLine="567"/>
        <w:jc w:val="both"/>
      </w:pPr>
    </w:p>
    <w:p w:rsidR="00AD5C99" w:rsidRPr="000817D7" w:rsidRDefault="008C68E7" w:rsidP="008B3C8E">
      <w:pPr>
        <w:pStyle w:val="af"/>
        <w:spacing w:before="0" w:beforeAutospacing="0" w:after="0" w:afterAutospacing="0"/>
        <w:ind w:firstLine="567"/>
        <w:jc w:val="both"/>
      </w:pPr>
      <w:r w:rsidRPr="0073596C">
        <w:rPr>
          <w:b/>
        </w:rPr>
        <w:t>6</w:t>
      </w:r>
      <w:r w:rsidR="0060572F" w:rsidRPr="0073596C">
        <w:rPr>
          <w:b/>
        </w:rPr>
        <w:t xml:space="preserve">. </w:t>
      </w:r>
      <w:r w:rsidR="00AB79AE" w:rsidRPr="0073596C">
        <w:rPr>
          <w:b/>
        </w:rPr>
        <w:t xml:space="preserve">Очікувана вартість предмета закупівлі із зазначенням інформації про включення </w:t>
      </w:r>
      <w:r w:rsidR="00AD5C99" w:rsidRPr="0073596C">
        <w:rPr>
          <w:b/>
        </w:rPr>
        <w:br/>
      </w:r>
      <w:r w:rsidR="00AB79AE" w:rsidRPr="0073596C">
        <w:rPr>
          <w:b/>
        </w:rPr>
        <w:t xml:space="preserve">до очікуваної вартості податку на додану вартість: </w:t>
      </w:r>
      <w:r w:rsidR="00A463C2" w:rsidRPr="000817D7">
        <w:t>426 130,37 (чотириста двадцять шість тисяч сто тридцять гривень 37 коп.).</w:t>
      </w:r>
    </w:p>
    <w:p w:rsidR="00A463C2" w:rsidRPr="0073596C" w:rsidRDefault="00A463C2" w:rsidP="008B3C8E">
      <w:pPr>
        <w:pStyle w:val="af"/>
        <w:spacing w:before="0" w:beforeAutospacing="0" w:after="0" w:afterAutospacing="0"/>
        <w:ind w:firstLine="567"/>
        <w:jc w:val="both"/>
        <w:rPr>
          <w:b/>
        </w:rPr>
      </w:pPr>
    </w:p>
    <w:p w:rsidR="00883C87" w:rsidRPr="0073596C" w:rsidRDefault="008C68E7" w:rsidP="008B3C8E">
      <w:pPr>
        <w:pStyle w:val="af"/>
        <w:spacing w:before="0" w:beforeAutospacing="0" w:after="0" w:afterAutospacing="0"/>
        <w:ind w:firstLine="567"/>
        <w:jc w:val="both"/>
      </w:pPr>
      <w:r w:rsidRPr="0073596C">
        <w:rPr>
          <w:b/>
        </w:rPr>
        <w:t>7</w:t>
      </w:r>
      <w:r w:rsidR="00883C87" w:rsidRPr="0073596C">
        <w:rPr>
          <w:b/>
        </w:rPr>
        <w:t xml:space="preserve">. </w:t>
      </w:r>
      <w:r w:rsidR="00204F9A" w:rsidRPr="0073596C">
        <w:rPr>
          <w:b/>
        </w:rPr>
        <w:t>Розмір, строк, вид та умови повернення чи непов</w:t>
      </w:r>
      <w:r w:rsidR="00AD5C99" w:rsidRPr="0073596C">
        <w:rPr>
          <w:b/>
        </w:rPr>
        <w:t>ернення забезпечення пропозиції</w:t>
      </w:r>
      <w:r w:rsidR="00AD5C99" w:rsidRPr="0073596C">
        <w:rPr>
          <w:b/>
        </w:rPr>
        <w:br/>
      </w:r>
      <w:r w:rsidR="00204F9A" w:rsidRPr="0073596C">
        <w:rPr>
          <w:b/>
        </w:rPr>
        <w:t xml:space="preserve">(у разі якщо державний замовник вимагає його надання): </w:t>
      </w:r>
      <w:r w:rsidR="00883C87" w:rsidRPr="0073596C">
        <w:t>не вимагається.</w:t>
      </w:r>
    </w:p>
    <w:p w:rsidR="00AD5C99" w:rsidRPr="0073596C" w:rsidRDefault="00AD5C99" w:rsidP="008B3C8E">
      <w:pPr>
        <w:pStyle w:val="af"/>
        <w:spacing w:before="0" w:beforeAutospacing="0" w:after="0" w:afterAutospacing="0"/>
        <w:ind w:firstLine="567"/>
        <w:jc w:val="both"/>
      </w:pPr>
    </w:p>
    <w:p w:rsidR="00883C87" w:rsidRPr="0073596C" w:rsidRDefault="008C68E7" w:rsidP="008B3C8E">
      <w:pPr>
        <w:pStyle w:val="af"/>
        <w:spacing w:before="0" w:beforeAutospacing="0" w:after="0" w:afterAutospacing="0"/>
        <w:ind w:firstLine="567"/>
        <w:jc w:val="both"/>
      </w:pPr>
      <w:r w:rsidRPr="0073596C">
        <w:rPr>
          <w:b/>
        </w:rPr>
        <w:t>8</w:t>
      </w:r>
      <w:r w:rsidR="00883C87" w:rsidRPr="0073596C">
        <w:rPr>
          <w:b/>
        </w:rPr>
        <w:t xml:space="preserve">. </w:t>
      </w:r>
      <w:r w:rsidR="00204F9A" w:rsidRPr="0073596C">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73596C">
        <w:t>не вимагається.</w:t>
      </w:r>
    </w:p>
    <w:p w:rsidR="00AD5C99" w:rsidRPr="0073596C" w:rsidRDefault="00AD5C99" w:rsidP="008B3C8E">
      <w:pPr>
        <w:pStyle w:val="af"/>
        <w:spacing w:before="0" w:beforeAutospacing="0" w:after="0" w:afterAutospacing="0"/>
        <w:ind w:firstLine="567"/>
        <w:jc w:val="both"/>
      </w:pPr>
    </w:p>
    <w:p w:rsidR="00427626" w:rsidRPr="0073596C" w:rsidRDefault="008C68E7" w:rsidP="00AD5C99">
      <w:pPr>
        <w:pStyle w:val="af"/>
        <w:spacing w:before="0" w:beforeAutospacing="0" w:after="0" w:afterAutospacing="0"/>
        <w:ind w:firstLine="567"/>
        <w:jc w:val="both"/>
        <w:rPr>
          <w:b/>
        </w:rPr>
      </w:pPr>
      <w:r w:rsidRPr="0073596C">
        <w:rPr>
          <w:b/>
        </w:rPr>
        <w:t>9</w:t>
      </w:r>
      <w:r w:rsidR="00883C87" w:rsidRPr="0073596C">
        <w:rPr>
          <w:b/>
        </w:rPr>
        <w:t xml:space="preserve">. </w:t>
      </w:r>
      <w:r w:rsidR="00427626" w:rsidRPr="0073596C">
        <w:rPr>
          <w:b/>
        </w:rPr>
        <w:t>Розмір мінімального кроку пониження цін</w:t>
      </w:r>
      <w:r w:rsidR="00AD5C99" w:rsidRPr="0073596C">
        <w:rPr>
          <w:b/>
        </w:rPr>
        <w:t>и під час електронного аукціону</w:t>
      </w:r>
      <w:r w:rsidR="00AD5C99" w:rsidRPr="0073596C">
        <w:rPr>
          <w:b/>
        </w:rPr>
        <w:br/>
      </w:r>
      <w:r w:rsidR="00427626" w:rsidRPr="0073596C">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73596C" w:rsidRDefault="00427626" w:rsidP="00427626">
      <w:pPr>
        <w:pStyle w:val="af"/>
        <w:spacing w:before="0" w:beforeAutospacing="0" w:after="0" w:afterAutospacing="0"/>
        <w:ind w:firstLine="567"/>
        <w:jc w:val="both"/>
      </w:pPr>
      <w:r w:rsidRPr="0073596C">
        <w:t>1 відсоток очікуваної вартості товару.</w:t>
      </w:r>
    </w:p>
    <w:p w:rsidR="00AD5C99" w:rsidRPr="0073596C" w:rsidRDefault="00AD5C99" w:rsidP="00427626">
      <w:pPr>
        <w:pStyle w:val="af"/>
        <w:spacing w:before="0" w:beforeAutospacing="0" w:after="0" w:afterAutospacing="0"/>
        <w:ind w:firstLine="567"/>
        <w:jc w:val="both"/>
      </w:pPr>
    </w:p>
    <w:p w:rsidR="00C3655F" w:rsidRPr="0073596C" w:rsidRDefault="00C3655F" w:rsidP="00C3655F">
      <w:pPr>
        <w:widowControl w:val="0"/>
        <w:tabs>
          <w:tab w:val="num" w:pos="0"/>
          <w:tab w:val="left" w:pos="284"/>
          <w:tab w:val="left" w:pos="851"/>
        </w:tabs>
        <w:suppressAutoHyphens/>
        <w:ind w:firstLine="567"/>
        <w:jc w:val="both"/>
        <w:rPr>
          <w:sz w:val="24"/>
          <w:szCs w:val="24"/>
          <w:lang w:val="uk-UA" w:eastAsia="uk-UA"/>
        </w:rPr>
      </w:pPr>
      <w:r w:rsidRPr="0073596C">
        <w:rPr>
          <w:b/>
          <w:sz w:val="24"/>
          <w:szCs w:val="24"/>
          <w:lang w:val="uk-UA" w:eastAsia="uk-UA"/>
        </w:rPr>
        <w:t xml:space="preserve">10. Перелік критеріїв та методика оцінки пропозиції із зазначенням питомої ваги </w:t>
      </w:r>
      <w:r w:rsidRPr="0073596C">
        <w:rPr>
          <w:b/>
          <w:sz w:val="24"/>
          <w:szCs w:val="24"/>
          <w:lang w:val="uk-UA" w:eastAsia="uk-UA"/>
        </w:rPr>
        <w:lastRenderedPageBreak/>
        <w:t xml:space="preserve">критеріїв: </w:t>
      </w:r>
      <w:r w:rsidRPr="0073596C">
        <w:rPr>
          <w:sz w:val="24"/>
          <w:szCs w:val="24"/>
          <w:lang w:val="uk-UA" w:eastAsia="uk-UA"/>
        </w:rPr>
        <w:t>єдиним критерієм оцінки пропозиції є – ціна.</w:t>
      </w:r>
    </w:p>
    <w:p w:rsidR="00AD5C99" w:rsidRPr="0073596C" w:rsidRDefault="00AD5C99" w:rsidP="00C3655F">
      <w:pPr>
        <w:widowControl w:val="0"/>
        <w:tabs>
          <w:tab w:val="num" w:pos="0"/>
          <w:tab w:val="left" w:pos="284"/>
          <w:tab w:val="left" w:pos="851"/>
        </w:tabs>
        <w:suppressAutoHyphens/>
        <w:ind w:firstLine="567"/>
        <w:jc w:val="both"/>
        <w:rPr>
          <w:b/>
          <w:sz w:val="24"/>
          <w:szCs w:val="24"/>
          <w:lang w:val="uk-UA" w:eastAsia="uk-UA"/>
        </w:rPr>
      </w:pPr>
    </w:p>
    <w:p w:rsidR="000B103E" w:rsidRPr="000817D7" w:rsidRDefault="008C68E7" w:rsidP="000817D7">
      <w:pPr>
        <w:tabs>
          <w:tab w:val="left" w:pos="700"/>
        </w:tabs>
        <w:ind w:firstLine="567"/>
        <w:jc w:val="both"/>
        <w:rPr>
          <w:sz w:val="24"/>
          <w:szCs w:val="24"/>
          <w:lang w:val="uk-UA"/>
        </w:rPr>
      </w:pPr>
      <w:r w:rsidRPr="0073596C">
        <w:rPr>
          <w:b/>
          <w:sz w:val="24"/>
          <w:szCs w:val="24"/>
          <w:lang w:val="uk-UA"/>
        </w:rPr>
        <w:t>1</w:t>
      </w:r>
      <w:r w:rsidR="00C3655F" w:rsidRPr="0073596C">
        <w:rPr>
          <w:b/>
          <w:sz w:val="24"/>
          <w:szCs w:val="24"/>
          <w:lang w:val="uk-UA"/>
        </w:rPr>
        <w:t>1</w:t>
      </w:r>
      <w:r w:rsidR="008B3C8E" w:rsidRPr="0073596C">
        <w:rPr>
          <w:b/>
          <w:sz w:val="24"/>
          <w:szCs w:val="24"/>
          <w:lang w:val="uk-UA"/>
        </w:rPr>
        <w:t xml:space="preserve">. </w:t>
      </w:r>
      <w:r w:rsidRPr="0073596C">
        <w:rPr>
          <w:b/>
          <w:sz w:val="24"/>
          <w:szCs w:val="24"/>
          <w:lang w:val="uk-UA"/>
        </w:rPr>
        <w:t xml:space="preserve">Представники державного замовника, уповноважені здійснювати зв’язок </w:t>
      </w:r>
      <w:r w:rsidR="00AD5C99" w:rsidRPr="0073596C">
        <w:rPr>
          <w:b/>
          <w:sz w:val="24"/>
          <w:szCs w:val="24"/>
          <w:lang w:val="uk-UA"/>
        </w:rPr>
        <w:br/>
      </w:r>
      <w:r w:rsidRPr="0073596C">
        <w:rPr>
          <w:b/>
          <w:sz w:val="24"/>
          <w:szCs w:val="24"/>
          <w:lang w:val="uk-UA"/>
        </w:rPr>
        <w:t>з учасниками спрощеної закупівлі:</w:t>
      </w:r>
      <w:r w:rsidR="00665173" w:rsidRPr="0073596C">
        <w:rPr>
          <w:sz w:val="24"/>
          <w:szCs w:val="24"/>
          <w:lang w:val="uk-UA"/>
        </w:rPr>
        <w:t xml:space="preserve">Гуща Дмитро </w:t>
      </w:r>
      <w:r w:rsidR="000817D7">
        <w:rPr>
          <w:sz w:val="24"/>
          <w:szCs w:val="24"/>
          <w:lang w:val="uk-UA"/>
        </w:rPr>
        <w:t>Володимиро</w:t>
      </w:r>
      <w:r w:rsidR="00665173" w:rsidRPr="0073596C">
        <w:rPr>
          <w:sz w:val="24"/>
          <w:szCs w:val="24"/>
          <w:lang w:val="uk-UA"/>
        </w:rPr>
        <w:t xml:space="preserve">вич, тел. 0666313783, електронна адреса: dzoa3723@gmail.com. З питань отримання інформації щодо предмета закупівлі, якісних </w:t>
      </w:r>
      <w:r w:rsidR="00665173" w:rsidRPr="0073596C">
        <w:rPr>
          <w:sz w:val="24"/>
          <w:szCs w:val="24"/>
          <w:lang w:val="uk-UA"/>
        </w:rPr>
        <w:br/>
        <w:t xml:space="preserve">та кількісних характеристик звертатися до </w:t>
      </w:r>
      <w:r w:rsidR="00CD4FAF" w:rsidRPr="0073596C">
        <w:rPr>
          <w:sz w:val="24"/>
          <w:szCs w:val="24"/>
          <w:lang w:val="uk-UA"/>
        </w:rPr>
        <w:t>Сокола Назара Васильовича</w:t>
      </w:r>
      <w:r w:rsidR="00665173" w:rsidRPr="0073596C">
        <w:rPr>
          <w:sz w:val="24"/>
          <w:szCs w:val="24"/>
          <w:lang w:val="uk-UA"/>
        </w:rPr>
        <w:t xml:space="preserve">,  тел. </w:t>
      </w:r>
      <w:r w:rsidR="00730802" w:rsidRPr="0073596C">
        <w:rPr>
          <w:sz w:val="24"/>
          <w:szCs w:val="24"/>
          <w:lang w:val="uk-UA"/>
        </w:rPr>
        <w:t>0966313647</w:t>
      </w:r>
      <w:r w:rsidR="00665173" w:rsidRPr="0073596C">
        <w:rPr>
          <w:sz w:val="24"/>
          <w:szCs w:val="24"/>
          <w:lang w:val="uk-UA"/>
        </w:rPr>
        <w:t>.</w:t>
      </w:r>
    </w:p>
    <w:p w:rsidR="000B103E" w:rsidRDefault="000B103E" w:rsidP="000B103E">
      <w:pPr>
        <w:ind w:firstLine="567"/>
        <w:jc w:val="both"/>
        <w:rPr>
          <w:b/>
          <w:sz w:val="24"/>
          <w:szCs w:val="24"/>
          <w:lang w:val="uk-UA"/>
        </w:rPr>
      </w:pPr>
    </w:p>
    <w:p w:rsidR="000B103E" w:rsidRDefault="000B103E" w:rsidP="000B103E">
      <w:pPr>
        <w:ind w:firstLine="567"/>
        <w:jc w:val="both"/>
        <w:rPr>
          <w:b/>
          <w:sz w:val="24"/>
          <w:szCs w:val="24"/>
          <w:lang w:val="uk-UA"/>
        </w:rPr>
      </w:pPr>
      <w:r>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0B103E" w:rsidRDefault="000B103E" w:rsidP="000B103E">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0B103E" w:rsidRDefault="000B103E" w:rsidP="000B103E">
      <w:pPr>
        <w:ind w:firstLine="567"/>
        <w:jc w:val="both"/>
        <w:rPr>
          <w:sz w:val="24"/>
          <w:szCs w:val="24"/>
          <w:lang w:val="uk-UA"/>
        </w:rPr>
      </w:pPr>
      <w:r>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xml:space="preserve">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w:t>
      </w:r>
      <w:r>
        <w:rPr>
          <w:sz w:val="24"/>
          <w:szCs w:val="24"/>
          <w:lang w:val="uk-UA"/>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103E" w:rsidRDefault="000B103E" w:rsidP="000B103E">
      <w:pPr>
        <w:ind w:firstLine="567"/>
        <w:jc w:val="both"/>
        <w:rPr>
          <w:sz w:val="24"/>
          <w:szCs w:val="24"/>
          <w:lang w:val="uk-UA"/>
        </w:rPr>
      </w:pPr>
      <w:r>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0B103E" w:rsidRDefault="000B103E" w:rsidP="000B103E">
      <w:pPr>
        <w:ind w:firstLine="567"/>
        <w:jc w:val="both"/>
        <w:rPr>
          <w:sz w:val="24"/>
          <w:szCs w:val="24"/>
          <w:lang w:val="uk-UA"/>
        </w:rPr>
      </w:pPr>
      <w:r>
        <w:rPr>
          <w:sz w:val="24"/>
          <w:szCs w:val="24"/>
          <w:lang w:val="uk-UA"/>
        </w:rPr>
        <w:t>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бенефіціарних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вноситься відмітка про причину його відсутності.</w:t>
      </w:r>
    </w:p>
    <w:p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B103E" w:rsidRDefault="000B103E" w:rsidP="000B103E">
      <w:pPr>
        <w:ind w:firstLine="567"/>
        <w:jc w:val="both"/>
        <w:rPr>
          <w:sz w:val="24"/>
          <w:szCs w:val="24"/>
          <w:lang w:val="uk-UA"/>
        </w:rPr>
      </w:pPr>
      <w:r>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r>
        <w:rPr>
          <w:sz w:val="24"/>
          <w:szCs w:val="24"/>
        </w:rPr>
        <w:t>орма “Ціновапропозиція” повинн</w:t>
      </w:r>
      <w:r>
        <w:rPr>
          <w:sz w:val="24"/>
          <w:szCs w:val="24"/>
          <w:lang w:val="uk-UA"/>
        </w:rPr>
        <w:t>а</w:t>
      </w:r>
      <w:r>
        <w:rPr>
          <w:sz w:val="24"/>
          <w:szCs w:val="24"/>
        </w:rPr>
        <w:t xml:space="preserve"> бути підписан</w:t>
      </w:r>
      <w:r>
        <w:rPr>
          <w:sz w:val="24"/>
          <w:szCs w:val="24"/>
          <w:lang w:val="uk-UA"/>
        </w:rPr>
        <w:t>а</w:t>
      </w:r>
      <w:r>
        <w:rPr>
          <w:sz w:val="24"/>
          <w:szCs w:val="24"/>
        </w:rPr>
        <w:t>керівникомабоуповноваженою особою учасника та надані на фірмовому бланку учасника (у разінаявності).</w:t>
      </w:r>
    </w:p>
    <w:p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rsidR="000B103E" w:rsidRDefault="000B103E" w:rsidP="000B103E">
      <w:pPr>
        <w:ind w:firstLine="567"/>
        <w:jc w:val="both"/>
        <w:rPr>
          <w:sz w:val="24"/>
          <w:szCs w:val="24"/>
          <w:lang w:val="uk-UA"/>
        </w:rPr>
      </w:pPr>
      <w:r>
        <w:rPr>
          <w:sz w:val="24"/>
          <w:szCs w:val="24"/>
          <w:lang w:val="uk-UA"/>
        </w:rPr>
        <w:t>- погоджений п</w:t>
      </w:r>
      <w:r>
        <w:rPr>
          <w:sz w:val="24"/>
          <w:szCs w:val="24"/>
        </w:rPr>
        <w:t>ро</w:t>
      </w:r>
      <w:r>
        <w:rPr>
          <w:sz w:val="24"/>
          <w:szCs w:val="24"/>
          <w:lang w:val="uk-UA"/>
        </w:rPr>
        <w:t>є</w:t>
      </w:r>
      <w:r>
        <w:rPr>
          <w:sz w:val="24"/>
          <w:szCs w:val="24"/>
        </w:rPr>
        <w:t xml:space="preserve">кт договору </w:t>
      </w:r>
      <w:r>
        <w:rPr>
          <w:spacing w:val="-2"/>
          <w:sz w:val="24"/>
          <w:szCs w:val="24"/>
        </w:rPr>
        <w:t>про закупівлю</w:t>
      </w:r>
      <w:r>
        <w:rPr>
          <w:sz w:val="24"/>
          <w:szCs w:val="24"/>
          <w:lang w:val="uk-UA"/>
        </w:rPr>
        <w:t xml:space="preserve">(Додаток </w:t>
      </w:r>
      <w:r>
        <w:rPr>
          <w:sz w:val="24"/>
          <w:szCs w:val="24"/>
        </w:rPr>
        <w:t>4</w:t>
      </w:r>
      <w:r>
        <w:rPr>
          <w:sz w:val="24"/>
          <w:szCs w:val="24"/>
          <w:lang w:val="uk-UA"/>
        </w:rPr>
        <w:t xml:space="preserve"> Оголошення);</w:t>
      </w:r>
    </w:p>
    <w:p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w:t>
      </w:r>
      <w:r>
        <w:rPr>
          <w:sz w:val="24"/>
          <w:szCs w:val="24"/>
          <w:lang w:val="uk-UA"/>
        </w:rPr>
        <w:lastRenderedPageBreak/>
        <w:t xml:space="preserve">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0B103E" w:rsidRDefault="000B103E" w:rsidP="000B103E">
      <w:pPr>
        <w:ind w:firstLine="567"/>
        <w:jc w:val="both"/>
        <w:rPr>
          <w:color w:val="000000"/>
          <w:sz w:val="24"/>
          <w:szCs w:val="24"/>
        </w:rPr>
      </w:pPr>
      <w:r>
        <w:rPr>
          <w:sz w:val="24"/>
          <w:szCs w:val="24"/>
          <w:lang w:val="uk-UA"/>
        </w:rPr>
        <w:t xml:space="preserve"> - п</w:t>
      </w:r>
      <w:r>
        <w:rPr>
          <w:sz w:val="24"/>
          <w:szCs w:val="24"/>
        </w:rPr>
        <w:t>овноваженняучасника – фізичної особи, у тому числіфізичної особи - підприємцяпідтверджуються паспортом (ст.1-2, ст.3-6 за наявностізаписів)</w:t>
      </w:r>
      <w:r>
        <w:rPr>
          <w:sz w:val="24"/>
          <w:szCs w:val="24"/>
          <w:lang w:val="uk-UA"/>
        </w:rPr>
        <w:t>;</w:t>
      </w:r>
    </w:p>
    <w:p w:rsidR="000B103E" w:rsidRDefault="000B103E" w:rsidP="000B103E">
      <w:pPr>
        <w:ind w:firstLine="567"/>
        <w:jc w:val="both"/>
        <w:rPr>
          <w:bCs/>
          <w:color w:val="000000"/>
          <w:spacing w:val="-6"/>
          <w:sz w:val="24"/>
          <w:szCs w:val="24"/>
          <w:lang w:val="uk-UA"/>
        </w:rPr>
      </w:pPr>
      <w:r>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rsidR="000B103E" w:rsidRDefault="000B103E" w:rsidP="000B103E">
      <w:pPr>
        <w:ind w:firstLine="567"/>
        <w:jc w:val="both"/>
        <w:rPr>
          <w:sz w:val="24"/>
          <w:szCs w:val="24"/>
          <w:u w:val="single"/>
          <w:lang w:val="uk-UA"/>
        </w:rPr>
      </w:pPr>
      <w:r>
        <w:rPr>
          <w:sz w:val="24"/>
          <w:szCs w:val="24"/>
        </w:rPr>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реєстраціюплатникаподатку (податку на доданувартість, єдиногоподаткутощо)</w:t>
      </w:r>
      <w:r>
        <w:rPr>
          <w:sz w:val="24"/>
          <w:szCs w:val="24"/>
          <w:lang w:val="uk-UA"/>
        </w:rPr>
        <w:t>.</w:t>
      </w:r>
    </w:p>
    <w:p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rsidR="000B103E" w:rsidRDefault="000B103E" w:rsidP="000B103E">
      <w:pPr>
        <w:ind w:firstLine="567"/>
        <w:jc w:val="both"/>
        <w:rPr>
          <w:sz w:val="24"/>
          <w:szCs w:val="24"/>
          <w:lang w:val="uk-UA"/>
        </w:rPr>
      </w:pPr>
      <w:r>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w:t>
      </w:r>
      <w:r>
        <w:rPr>
          <w:sz w:val="24"/>
          <w:szCs w:val="24"/>
          <w:lang w:val="uk-UA"/>
        </w:rPr>
        <w:lastRenderedPageBreak/>
        <w:t xml:space="preserve">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0B103E" w:rsidRDefault="000B103E" w:rsidP="000B103E">
      <w:pPr>
        <w:ind w:firstLine="567"/>
        <w:jc w:val="both"/>
        <w:rPr>
          <w:sz w:val="24"/>
          <w:szCs w:val="24"/>
          <w:lang w:val="uk-UA"/>
        </w:rPr>
      </w:pPr>
      <w:r>
        <w:rPr>
          <w:sz w:val="24"/>
          <w:szCs w:val="24"/>
          <w:lang w:val="uk-UA"/>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0B103E" w:rsidRDefault="000B103E" w:rsidP="000B103E">
      <w:pPr>
        <w:ind w:firstLine="567"/>
        <w:jc w:val="both"/>
        <w:rPr>
          <w:sz w:val="24"/>
          <w:szCs w:val="24"/>
          <w:lang w:val="uk-UA"/>
        </w:rPr>
      </w:pPr>
    </w:p>
    <w:p w:rsidR="000B103E" w:rsidRPr="0073596C" w:rsidRDefault="000B103E" w:rsidP="000B103E">
      <w:pPr>
        <w:ind w:firstLine="567"/>
        <w:jc w:val="both"/>
        <w:rPr>
          <w:b/>
          <w:sz w:val="24"/>
          <w:szCs w:val="24"/>
          <w:lang w:val="uk-UA"/>
        </w:rPr>
      </w:pPr>
      <w:bookmarkStart w:id="0" w:name="_GoBack"/>
      <w:bookmarkEnd w:id="0"/>
      <w:r w:rsidRPr="0073596C">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2B3CF2" w:rsidRPr="0073596C" w:rsidRDefault="002B3CF2" w:rsidP="002B3CF2">
      <w:pPr>
        <w:pStyle w:val="af4"/>
        <w:widowControl w:val="0"/>
        <w:shd w:val="clear" w:color="auto" w:fill="FFFFFF"/>
        <w:autoSpaceDE w:val="0"/>
        <w:autoSpaceDN w:val="0"/>
        <w:adjustRightInd w:val="0"/>
        <w:ind w:left="0"/>
        <w:rPr>
          <w:sz w:val="24"/>
          <w:szCs w:val="26"/>
        </w:rPr>
      </w:pPr>
      <w:r w:rsidRPr="0073596C">
        <w:rPr>
          <w:sz w:val="24"/>
          <w:szCs w:val="26"/>
        </w:rPr>
        <w:t>Дозвіл  на виконання робіт:</w:t>
      </w:r>
    </w:p>
    <w:p w:rsidR="002B3CF2" w:rsidRPr="0073596C" w:rsidRDefault="002B3CF2"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монтаж, налагодження, ремонт, технічне обслуговування машин, механізмів, устаткування підвищеної небезпеки – технологічного устаткування нафто-газопереробної (в т.ч. технологічних трубопроводів, резервуарів сталевих зварних);</w:t>
      </w:r>
    </w:p>
    <w:p w:rsidR="002B3CF2" w:rsidRPr="0073596C" w:rsidRDefault="002B3CF2"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роботи в замкнутому просторі (ємностях);</w:t>
      </w:r>
    </w:p>
    <w:p w:rsidR="002B3CF2" w:rsidRPr="0073596C" w:rsidRDefault="002B3CF2"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устаткування пов’язаного з транспортуванням небезпечних речовин (світлі нафтопродукти);</w:t>
      </w:r>
    </w:p>
    <w:p w:rsidR="007B42A5" w:rsidRPr="0073596C" w:rsidRDefault="007B42A5" w:rsidP="002B3CF2">
      <w:pPr>
        <w:pStyle w:val="af4"/>
        <w:widowControl w:val="0"/>
        <w:numPr>
          <w:ilvl w:val="0"/>
          <w:numId w:val="16"/>
        </w:numPr>
        <w:shd w:val="clear" w:color="auto" w:fill="FFFFFF"/>
        <w:autoSpaceDE w:val="0"/>
        <w:autoSpaceDN w:val="0"/>
        <w:adjustRightInd w:val="0"/>
        <w:ind w:left="34" w:firstLine="284"/>
        <w:rPr>
          <w:sz w:val="24"/>
          <w:szCs w:val="26"/>
        </w:rPr>
      </w:pPr>
      <w:r w:rsidRPr="0073596C">
        <w:rPr>
          <w:sz w:val="24"/>
          <w:szCs w:val="26"/>
        </w:rPr>
        <w:t>провести вімірювання уповноваження затвердження таблиць калібрування ДСТУ 7475:2016</w:t>
      </w:r>
    </w:p>
    <w:p w:rsidR="002B3CF2" w:rsidRPr="0073596C" w:rsidRDefault="002B3CF2" w:rsidP="00886727">
      <w:pPr>
        <w:jc w:val="both"/>
        <w:rPr>
          <w:b/>
          <w:sz w:val="22"/>
          <w:szCs w:val="24"/>
          <w:lang w:val="uk-UA"/>
        </w:rPr>
      </w:pPr>
      <w:r w:rsidRPr="0073596C">
        <w:rPr>
          <w:sz w:val="24"/>
          <w:szCs w:val="26"/>
          <w:lang w:val="uk-UA"/>
        </w:rPr>
        <w:t>електрообладнання, призначеного для експлуатації у вибухонебезпечних зонах.</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 Інша необхідна інформація залежно від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0B103E" w:rsidRDefault="000B103E" w:rsidP="000B103E">
      <w:pPr>
        <w:pStyle w:val="HTML"/>
        <w:ind w:firstLine="720"/>
        <w:jc w:val="both"/>
        <w:rPr>
          <w:rFonts w:ascii="Times New Roman" w:hAnsi="Times New Roman" w:cs="Times New Roman"/>
          <w:sz w:val="24"/>
          <w:szCs w:val="24"/>
          <w:u w:val="single"/>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0B103E" w:rsidRDefault="000B103E" w:rsidP="000817D7">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якщо постачальник є юридичною особою – резидентом російської федерації/республіки білорусь державної форми власності, є юридичною особою, створеною та/або зареєстрованою відповідно до законодавства російської федерації/республіки білорусь, та/або є юридичною особою, кінцевим бенефіціарним власником (власником) якої є резидент (резиденти) російської федерації/республіки білорусь, або є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0B103E" w:rsidRDefault="000B103E" w:rsidP="000817D7">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0817D7" w:rsidRDefault="000817D7" w:rsidP="000817D7">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автоматично відміняється електронною системою закупівель у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A75A0E" w:rsidRPr="000817D7" w:rsidRDefault="000B103E" w:rsidP="000817D7">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lastRenderedPageBreak/>
        <w:t>Перелік формальних помилок: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використання слова або мовного звороту, запозичених з іншої мови;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03E" w:rsidRPr="00AD5C99" w:rsidRDefault="000B103E" w:rsidP="000817D7">
      <w:pPr>
        <w:tabs>
          <w:tab w:val="left" w:pos="700"/>
        </w:tabs>
        <w:ind w:firstLine="567"/>
        <w:jc w:val="both"/>
        <w:rPr>
          <w:sz w:val="24"/>
          <w:szCs w:val="24"/>
          <w:lang w:val="uk-UA"/>
        </w:rPr>
      </w:pPr>
      <w:r w:rsidRPr="000817D7">
        <w:rPr>
          <w:sz w:val="24"/>
          <w:szCs w:val="24"/>
          <w:lang w:val="uk-UA"/>
        </w:rPr>
        <w:t>11. Подання документа (документів) учасникомспрощеноїзакупівлі у складіпропозиції в форматі, щовідрізняєтьсявід формату, якийвимагаєтьсязамовником у оголошенні, при цьомутакий формат документа забезпечуєможливістьйого перегляду.</w:t>
      </w:r>
    </w:p>
    <w:p w:rsidR="008B3C8E" w:rsidRDefault="008B3C8E" w:rsidP="008B3C8E">
      <w:pPr>
        <w:tabs>
          <w:tab w:val="left" w:pos="7813"/>
          <w:tab w:val="left" w:pos="8177"/>
        </w:tabs>
        <w:rPr>
          <w:b/>
          <w:bCs/>
          <w:sz w:val="24"/>
          <w:szCs w:val="24"/>
          <w:lang w:val="uk-UA"/>
        </w:rPr>
      </w:pPr>
    </w:p>
    <w:p w:rsidR="000817D7" w:rsidRDefault="000817D7" w:rsidP="008B3C8E">
      <w:pPr>
        <w:tabs>
          <w:tab w:val="left" w:pos="7813"/>
          <w:tab w:val="left" w:pos="8177"/>
        </w:tabs>
        <w:rPr>
          <w:b/>
          <w:bCs/>
          <w:sz w:val="24"/>
          <w:szCs w:val="24"/>
          <w:lang w:val="uk-UA"/>
        </w:rPr>
      </w:pPr>
    </w:p>
    <w:p w:rsidR="000817D7" w:rsidRPr="00AD5C99" w:rsidRDefault="000817D7"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арк.</w:t>
      </w:r>
    </w:p>
    <w:p w:rsidR="000B103E" w:rsidRPr="002370C4" w:rsidRDefault="005D7A28" w:rsidP="002370C4">
      <w:pPr>
        <w:spacing w:line="276" w:lineRule="auto"/>
        <w:ind w:left="1416" w:firstLine="708"/>
        <w:jc w:val="both"/>
        <w:rPr>
          <w:sz w:val="24"/>
          <w:szCs w:val="24"/>
          <w:lang w:val="uk-UA"/>
        </w:rPr>
      </w:pPr>
      <w:r>
        <w:rPr>
          <w:sz w:val="24"/>
          <w:szCs w:val="24"/>
          <w:lang w:val="uk-UA"/>
        </w:rPr>
        <w:t xml:space="preserve">4. Проєкт договору </w:t>
      </w:r>
      <w:r>
        <w:rPr>
          <w:spacing w:val="-2"/>
          <w:sz w:val="24"/>
          <w:szCs w:val="24"/>
          <w:lang w:val="uk-UA"/>
        </w:rPr>
        <w:t>про закупівлю за державні кошти</w:t>
      </w:r>
      <w:r w:rsidR="002370C4">
        <w:rPr>
          <w:sz w:val="24"/>
          <w:szCs w:val="24"/>
          <w:lang w:val="uk-UA"/>
        </w:rPr>
        <w:t>на 7</w:t>
      </w:r>
      <w:r>
        <w:rPr>
          <w:sz w:val="24"/>
          <w:szCs w:val="24"/>
          <w:lang w:val="uk-UA"/>
        </w:rPr>
        <w:t>арк.</w:t>
      </w:r>
    </w:p>
    <w:p w:rsidR="006D3DE3" w:rsidRPr="008973E6" w:rsidRDefault="006D3DE3" w:rsidP="006D3DE3">
      <w:pPr>
        <w:tabs>
          <w:tab w:val="left" w:pos="7813"/>
          <w:tab w:val="left" w:pos="8177"/>
        </w:tabs>
        <w:jc w:val="right"/>
        <w:rPr>
          <w:b/>
          <w:bCs/>
          <w:sz w:val="24"/>
          <w:szCs w:val="24"/>
          <w:lang w:val="uk-UA"/>
        </w:rPr>
      </w:pPr>
      <w:r w:rsidRPr="008973E6">
        <w:rPr>
          <w:b/>
          <w:bCs/>
          <w:sz w:val="24"/>
          <w:szCs w:val="24"/>
        </w:rPr>
        <w:lastRenderedPageBreak/>
        <w:t xml:space="preserve">Додаток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(подаєтьсяУчасником на фірмовому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r>
              <w:rPr>
                <w:color w:val="000000"/>
                <w:sz w:val="24"/>
                <w:szCs w:val="24"/>
              </w:rPr>
              <w:t xml:space="preserve">Назва предмету </w:t>
            </w:r>
            <w:r w:rsidR="00E26BBE" w:rsidRPr="00E006F1">
              <w:rPr>
                <w:color w:val="000000"/>
                <w:sz w:val="24"/>
                <w:szCs w:val="24"/>
              </w:rPr>
              <w:t>закупівлі</w:t>
            </w:r>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Одиницівиміру</w:t>
            </w:r>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Кількість</w:t>
            </w:r>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r w:rsidRPr="00E006F1">
              <w:rPr>
                <w:bCs/>
                <w:color w:val="000000"/>
                <w:sz w:val="24"/>
                <w:szCs w:val="24"/>
              </w:rPr>
              <w:t>Ціна за одиницю з урахуваннямвсіхнеобхіднихподатків, зборів та іншихплатежів, включаючи      доставку, грн.</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r w:rsidRPr="00E006F1">
              <w:rPr>
                <w:bCs/>
                <w:color w:val="000000"/>
                <w:sz w:val="24"/>
                <w:szCs w:val="24"/>
              </w:rPr>
              <w:t>Загальнавартість з        урахуваннямвсіхнеобхіднихподатків, зборів та іншихплатежів, включаючи      доставку, грн.</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Загальнавартість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крім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r w:rsidRPr="00E006F1">
              <w:rPr>
                <w:b/>
                <w:color w:val="000000"/>
                <w:sz w:val="24"/>
                <w:szCs w:val="24"/>
              </w:rPr>
              <w:t>Загальнавартістьпропозиції  ПДВ</w:t>
            </w:r>
            <w:r w:rsidRPr="00E006F1">
              <w:rPr>
                <w:b/>
                <w:color w:val="000000"/>
                <w:sz w:val="24"/>
                <w:szCs w:val="24"/>
                <w:vertAlign w:val="superscript"/>
              </w:rPr>
              <w:t>2</w:t>
            </w:r>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прописом)</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оформлюється та подаєтьсяучасниками</w:t>
      </w:r>
      <w:r w:rsidR="00B377AD">
        <w:rPr>
          <w:b/>
          <w:sz w:val="16"/>
          <w:szCs w:val="16"/>
          <w:lang w:val="uk-UA"/>
        </w:rPr>
        <w:t xml:space="preserve">закупівлі </w:t>
      </w:r>
      <w:r w:rsidRPr="008D4FE8">
        <w:rPr>
          <w:b/>
          <w:sz w:val="16"/>
          <w:szCs w:val="16"/>
        </w:rPr>
        <w:t>за встановленоюзамовником формою. Учасник не повинен відступативідданоїформи.</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нараховується у випадках, передбаченихзаконодавствомУкраїни.</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E006F1" w:rsidRDefault="00E26BBE" w:rsidP="00E26BBE">
      <w:pPr>
        <w:tabs>
          <w:tab w:val="left" w:pos="6677"/>
        </w:tabs>
        <w:ind w:firstLine="709"/>
        <w:rPr>
          <w:b/>
          <w:color w:val="000000"/>
          <w:sz w:val="24"/>
          <w:szCs w:val="24"/>
        </w:rPr>
      </w:pPr>
      <w:r w:rsidRPr="00E006F1">
        <w:rPr>
          <w:b/>
          <w:i/>
          <w:color w:val="000000"/>
          <w:sz w:val="24"/>
          <w:szCs w:val="24"/>
        </w:rPr>
        <w:t>Посада, прізвище, ініціали,</w:t>
      </w:r>
    </w:p>
    <w:p w:rsidR="00E26BBE" w:rsidRPr="00E006F1" w:rsidRDefault="00E26BBE" w:rsidP="00E26BBE">
      <w:pPr>
        <w:tabs>
          <w:tab w:val="left" w:pos="6677"/>
        </w:tabs>
        <w:ind w:firstLine="700"/>
        <w:rPr>
          <w:b/>
          <w:i/>
          <w:color w:val="000000"/>
          <w:sz w:val="24"/>
          <w:szCs w:val="24"/>
        </w:rPr>
      </w:pPr>
      <w:r w:rsidRPr="00E006F1">
        <w:rPr>
          <w:b/>
          <w:color w:val="000000"/>
          <w:sz w:val="24"/>
          <w:szCs w:val="24"/>
        </w:rPr>
        <w:t xml:space="preserve"> ____________________                                                         ______________________</w:t>
      </w:r>
    </w:p>
    <w:p w:rsidR="00E26BBE" w:rsidRPr="00E006F1" w:rsidRDefault="00E26BBE" w:rsidP="00E26BBE">
      <w:pPr>
        <w:tabs>
          <w:tab w:val="left" w:pos="6677"/>
        </w:tabs>
        <w:ind w:firstLine="709"/>
        <w:rPr>
          <w:b/>
          <w:i/>
          <w:color w:val="000000"/>
          <w:sz w:val="24"/>
          <w:szCs w:val="24"/>
        </w:rPr>
      </w:pPr>
      <w:r w:rsidRPr="00E006F1">
        <w:rPr>
          <w:b/>
          <w:i/>
          <w:color w:val="000000"/>
          <w:sz w:val="24"/>
          <w:szCs w:val="24"/>
        </w:rPr>
        <w:t xml:space="preserve">    (підпис)                                                                                                     (дата)                               </w:t>
      </w:r>
    </w:p>
    <w:p w:rsidR="006A36C7" w:rsidRDefault="00E26BBE" w:rsidP="008211B9">
      <w:pPr>
        <w:tabs>
          <w:tab w:val="left" w:pos="6677"/>
        </w:tabs>
        <w:rPr>
          <w:b/>
          <w:i/>
          <w:color w:val="000000"/>
          <w:sz w:val="24"/>
          <w:szCs w:val="24"/>
          <w:lang w:val="uk-UA"/>
        </w:rPr>
      </w:pPr>
      <w:r w:rsidRPr="00E006F1">
        <w:rPr>
          <w:b/>
          <w:i/>
          <w:color w:val="000000"/>
          <w:sz w:val="24"/>
          <w:szCs w:val="24"/>
        </w:rPr>
        <w:t>підписуповноваженої особи Учасника, завіреніпечаткою</w:t>
      </w:r>
    </w:p>
    <w:p w:rsidR="00102354" w:rsidRDefault="00102354"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CD4975" w:rsidRDefault="00CD4975" w:rsidP="00EB6406">
      <w:pPr>
        <w:widowControl w:val="0"/>
        <w:autoSpaceDE w:val="0"/>
        <w:autoSpaceDN w:val="0"/>
        <w:adjustRightInd w:val="0"/>
        <w:ind w:right="-1"/>
        <w:rPr>
          <w:b/>
          <w:i/>
          <w:color w:val="000000"/>
          <w:sz w:val="24"/>
          <w:szCs w:val="24"/>
          <w:lang w:val="uk-UA"/>
        </w:rPr>
      </w:pPr>
    </w:p>
    <w:p w:rsidR="00EB6406" w:rsidRDefault="00EB6406"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0B103E" w:rsidRDefault="000B103E" w:rsidP="00EB6406">
      <w:pPr>
        <w:widowControl w:val="0"/>
        <w:autoSpaceDE w:val="0"/>
        <w:autoSpaceDN w:val="0"/>
        <w:adjustRightInd w:val="0"/>
        <w:ind w:right="-1"/>
        <w:rPr>
          <w:b/>
          <w:i/>
          <w:color w:val="000000"/>
          <w:sz w:val="24"/>
          <w:szCs w:val="24"/>
          <w:lang w:val="uk-UA"/>
        </w:rPr>
      </w:pPr>
    </w:p>
    <w:p w:rsidR="00230891" w:rsidRDefault="00230891" w:rsidP="00EB6406">
      <w:pPr>
        <w:widowControl w:val="0"/>
        <w:autoSpaceDE w:val="0"/>
        <w:autoSpaceDN w:val="0"/>
        <w:adjustRightInd w:val="0"/>
        <w:ind w:right="-1"/>
        <w:rPr>
          <w:b/>
          <w:i/>
          <w:color w:val="000000"/>
          <w:sz w:val="24"/>
          <w:szCs w:val="24"/>
          <w:lang w:val="uk-UA"/>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lastRenderedPageBreak/>
        <w:t xml:space="preserve">Додаток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ормавласності та юридичний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0817D7">
              <w:rPr>
                <w:color w:val="000000"/>
                <w:sz w:val="18"/>
                <w:lang w:val="uk-UA"/>
              </w:rPr>
              <w:t>(</w:t>
            </w:r>
            <w:r w:rsidRPr="000817D7">
              <w:rPr>
                <w:i/>
                <w:color w:val="000000"/>
                <w:sz w:val="18"/>
                <w:lang w:val="uk-UA"/>
              </w:rPr>
              <w:t xml:space="preserve">Посада, прізвище, ініціали, підпискерівникаабоуповноваженої особи учасника, завіреніпечаткою </w:t>
            </w:r>
            <w:r w:rsidRPr="00480743">
              <w:rPr>
                <w:i/>
                <w:color w:val="000000"/>
                <w:sz w:val="18"/>
              </w:rPr>
              <w:t>(у разінаявності))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5C4527" w:rsidRDefault="005C4527" w:rsidP="005C4527">
      <w:pPr>
        <w:spacing w:line="228" w:lineRule="auto"/>
        <w:ind w:firstLine="709"/>
        <w:jc w:val="right"/>
        <w:rPr>
          <w:sz w:val="24"/>
          <w:szCs w:val="24"/>
          <w:lang w:val="uk-UA"/>
        </w:rPr>
      </w:pPr>
    </w:p>
    <w:p w:rsidR="001C41CB" w:rsidRPr="008973E6" w:rsidRDefault="001C41CB" w:rsidP="005D216E">
      <w:pPr>
        <w:spacing w:line="228" w:lineRule="auto"/>
        <w:rPr>
          <w:sz w:val="24"/>
          <w:szCs w:val="24"/>
          <w:lang w:val="uk-UA"/>
        </w:rPr>
      </w:pPr>
    </w:p>
    <w:p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6E36FC" w:rsidRDefault="006E36FC" w:rsidP="000B21DF">
      <w:pPr>
        <w:spacing w:line="216" w:lineRule="auto"/>
        <w:jc w:val="center"/>
        <w:rPr>
          <w:b/>
          <w:sz w:val="24"/>
          <w:szCs w:val="24"/>
          <w:lang w:val="uk-UA"/>
        </w:rPr>
      </w:pP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Демонтаж/монтаж люка резервуарів</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19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Перекачування пального з резервуарів</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19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8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3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10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5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20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2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Зачищення резервуару об’ємом 25 м</w:t>
      </w:r>
      <w:r w:rsidRPr="00ED0FF8">
        <w:rPr>
          <w:sz w:val="24"/>
          <w:szCs w:val="24"/>
          <w:vertAlign w:val="superscript"/>
          <w:lang w:val="uk-UA"/>
        </w:rPr>
        <w:t>3</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Дегазація резервуарів</w:t>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r>
      <w:r w:rsidRPr="00ED0FF8">
        <w:rPr>
          <w:sz w:val="24"/>
          <w:szCs w:val="24"/>
          <w:lang w:val="uk-UA"/>
        </w:rPr>
        <w:tab/>
        <w:t>19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8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3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10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5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20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2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Дефектоскопія резервуару об’ємом 25 м</w:t>
      </w:r>
      <w:r w:rsidRPr="00ED0FF8">
        <w:rPr>
          <w:sz w:val="24"/>
          <w:szCs w:val="24"/>
          <w:vertAlign w:val="superscript"/>
          <w:lang w:val="uk-UA"/>
        </w:rPr>
        <w:t>3</w:t>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vertAlign w:val="superscript"/>
          <w:lang w:val="uk-UA"/>
        </w:rPr>
        <w:tab/>
      </w:r>
      <w:r w:rsidRPr="00ED0FF8">
        <w:rPr>
          <w:sz w:val="24"/>
          <w:szCs w:val="24"/>
          <w:lang w:val="uk-UA"/>
        </w:rPr>
        <w:t>9 шт.</w:t>
      </w:r>
    </w:p>
    <w:p w:rsidR="00ED0FF8" w:rsidRPr="00ED0FF8" w:rsidRDefault="00ED0FF8" w:rsidP="00ED0FF8">
      <w:pPr>
        <w:pStyle w:val="a8"/>
        <w:numPr>
          <w:ilvl w:val="0"/>
          <w:numId w:val="15"/>
        </w:numPr>
        <w:spacing w:line="317" w:lineRule="exact"/>
        <w:rPr>
          <w:sz w:val="24"/>
          <w:szCs w:val="24"/>
          <w:lang w:val="uk-UA"/>
        </w:rPr>
      </w:pPr>
      <w:r w:rsidRPr="00ED0FF8">
        <w:rPr>
          <w:sz w:val="24"/>
          <w:szCs w:val="24"/>
          <w:lang w:val="uk-UA"/>
        </w:rPr>
        <w:t>Калібрування резервуарів з затвердженням гранувальних таблиці в ЦСМ</w:t>
      </w:r>
      <w:r w:rsidRPr="00ED0FF8">
        <w:rPr>
          <w:sz w:val="24"/>
          <w:szCs w:val="24"/>
          <w:lang w:val="uk-UA"/>
        </w:rPr>
        <w:tab/>
        <w:t>19 шт.</w:t>
      </w:r>
    </w:p>
    <w:p w:rsidR="002B5E91" w:rsidRPr="004147B1" w:rsidRDefault="00ED0FF8" w:rsidP="00ED0FF8">
      <w:pPr>
        <w:pStyle w:val="a8"/>
        <w:numPr>
          <w:ilvl w:val="0"/>
          <w:numId w:val="15"/>
        </w:numPr>
        <w:spacing w:after="0" w:line="317" w:lineRule="exact"/>
        <w:jc w:val="both"/>
        <w:rPr>
          <w:sz w:val="24"/>
          <w:szCs w:val="24"/>
        </w:rPr>
      </w:pPr>
      <w:r w:rsidRPr="00ED0FF8">
        <w:rPr>
          <w:sz w:val="24"/>
          <w:szCs w:val="24"/>
        </w:rPr>
        <w:t>Герметизаціягорловини люка резервуарів</w:t>
      </w:r>
      <w:r w:rsidRPr="00ED0FF8">
        <w:rPr>
          <w:sz w:val="24"/>
          <w:szCs w:val="24"/>
        </w:rPr>
        <w:tab/>
      </w:r>
      <w:r w:rsidRPr="00ED0FF8">
        <w:rPr>
          <w:sz w:val="24"/>
          <w:szCs w:val="24"/>
        </w:rPr>
        <w:tab/>
      </w:r>
      <w:r w:rsidRPr="00ED0FF8">
        <w:rPr>
          <w:sz w:val="24"/>
          <w:szCs w:val="24"/>
        </w:rPr>
        <w:tab/>
      </w:r>
      <w:r w:rsidRPr="00ED0FF8">
        <w:rPr>
          <w:sz w:val="24"/>
          <w:szCs w:val="24"/>
        </w:rPr>
        <w:tab/>
      </w:r>
      <w:r w:rsidRPr="00ED0FF8">
        <w:rPr>
          <w:sz w:val="24"/>
          <w:szCs w:val="24"/>
        </w:rPr>
        <w:tab/>
      </w:r>
      <w:r w:rsidRPr="00ED0FF8">
        <w:rPr>
          <w:sz w:val="24"/>
          <w:szCs w:val="24"/>
        </w:rPr>
        <w:tab/>
        <w:t>19 шт</w:t>
      </w:r>
      <w:r>
        <w:rPr>
          <w:sz w:val="24"/>
          <w:szCs w:val="24"/>
          <w:lang w:val="uk-UA"/>
        </w:rPr>
        <w:t>.</w:t>
      </w:r>
    </w:p>
    <w:sectPr w:rsidR="002B5E91" w:rsidRPr="004147B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443" w:rsidRDefault="00751443">
      <w:r>
        <w:separator/>
      </w:r>
    </w:p>
  </w:endnote>
  <w:endnote w:type="continuationSeparator" w:id="1">
    <w:p w:rsidR="00751443" w:rsidRDefault="0075144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EA22A9"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443" w:rsidRDefault="00751443">
      <w:r>
        <w:separator/>
      </w:r>
    </w:p>
  </w:footnote>
  <w:footnote w:type="continuationSeparator" w:id="1">
    <w:p w:rsidR="00751443" w:rsidRDefault="00751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EA22A9"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EA22A9"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F3177F">
      <w:rPr>
        <w:rStyle w:val="a5"/>
        <w:noProof/>
      </w:rPr>
      <w:t>5</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Pr="00DE6A4C" w:rsidRDefault="00795788" w:rsidP="00DE02D4">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4904A2"/>
    <w:multiLevelType w:val="hybridMultilevel"/>
    <w:tmpl w:val="BE22CA20"/>
    <w:lvl w:ilvl="0" w:tplc="FFF613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2F41B32"/>
    <w:multiLevelType w:val="hybridMultilevel"/>
    <w:tmpl w:val="C41879DA"/>
    <w:lvl w:ilvl="0" w:tplc="E122770E">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3">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5"/>
  </w:num>
  <w:num w:numId="4">
    <w:abstractNumId w:val="15"/>
  </w:num>
  <w:num w:numId="5">
    <w:abstractNumId w:val="9"/>
  </w:num>
  <w:num w:numId="6">
    <w:abstractNumId w:val="6"/>
  </w:num>
  <w:num w:numId="7">
    <w:abstractNumId w:val="11"/>
  </w:num>
  <w:num w:numId="8">
    <w:abstractNumId w:val="1"/>
  </w:num>
  <w:num w:numId="9">
    <w:abstractNumId w:val="3"/>
  </w:num>
  <w:num w:numId="10">
    <w:abstractNumId w:val="0"/>
  </w:num>
  <w:num w:numId="11">
    <w:abstractNumId w:val="13"/>
  </w:num>
  <w:num w:numId="12">
    <w:abstractNumId w:val="2"/>
  </w:num>
  <w:num w:numId="13">
    <w:abstractNumId w:val="12"/>
  </w:num>
  <w:num w:numId="14">
    <w:abstractNumId w:val="14"/>
  </w:num>
  <w:num w:numId="15">
    <w:abstractNumId w:val="8"/>
  </w:num>
  <w:num w:numId="1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8"/>
  <w:hyphenationZone w:val="425"/>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DE02D4"/>
    <w:rsid w:val="0000043B"/>
    <w:rsid w:val="000046AD"/>
    <w:rsid w:val="00006461"/>
    <w:rsid w:val="00013B89"/>
    <w:rsid w:val="00014863"/>
    <w:rsid w:val="00014D86"/>
    <w:rsid w:val="00015830"/>
    <w:rsid w:val="00015A52"/>
    <w:rsid w:val="00016271"/>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17D7"/>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289"/>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370C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CF2"/>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3F8A"/>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B764E"/>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0802"/>
    <w:rsid w:val="00732854"/>
    <w:rsid w:val="00732FDD"/>
    <w:rsid w:val="00734315"/>
    <w:rsid w:val="00734594"/>
    <w:rsid w:val="00734C2B"/>
    <w:rsid w:val="0073513B"/>
    <w:rsid w:val="0073579D"/>
    <w:rsid w:val="0073596C"/>
    <w:rsid w:val="00740C9E"/>
    <w:rsid w:val="00741D0F"/>
    <w:rsid w:val="00742391"/>
    <w:rsid w:val="00742546"/>
    <w:rsid w:val="00743655"/>
    <w:rsid w:val="00743F66"/>
    <w:rsid w:val="0074440A"/>
    <w:rsid w:val="00744FCE"/>
    <w:rsid w:val="007452CD"/>
    <w:rsid w:val="00750121"/>
    <w:rsid w:val="0075023A"/>
    <w:rsid w:val="00751443"/>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B42A5"/>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B1"/>
    <w:rsid w:val="00881110"/>
    <w:rsid w:val="00883C87"/>
    <w:rsid w:val="0088672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66A9"/>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3C2"/>
    <w:rsid w:val="00A46974"/>
    <w:rsid w:val="00A4794B"/>
    <w:rsid w:val="00A527FA"/>
    <w:rsid w:val="00A52CF7"/>
    <w:rsid w:val="00A563E8"/>
    <w:rsid w:val="00A57060"/>
    <w:rsid w:val="00A60062"/>
    <w:rsid w:val="00A6087C"/>
    <w:rsid w:val="00A613B6"/>
    <w:rsid w:val="00A66FC8"/>
    <w:rsid w:val="00A75A0E"/>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F2103"/>
    <w:rsid w:val="00AF2E76"/>
    <w:rsid w:val="00AF3E97"/>
    <w:rsid w:val="00AF5189"/>
    <w:rsid w:val="00AF6A38"/>
    <w:rsid w:val="00AF6BEB"/>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7AD"/>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4FAF"/>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ECA"/>
    <w:rsid w:val="00D57232"/>
    <w:rsid w:val="00D60660"/>
    <w:rsid w:val="00D60885"/>
    <w:rsid w:val="00D61499"/>
    <w:rsid w:val="00D61F1A"/>
    <w:rsid w:val="00D6203C"/>
    <w:rsid w:val="00D64C29"/>
    <w:rsid w:val="00D6588B"/>
    <w:rsid w:val="00D65F72"/>
    <w:rsid w:val="00D67D8A"/>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22A9"/>
    <w:rsid w:val="00EB0D01"/>
    <w:rsid w:val="00EB5586"/>
    <w:rsid w:val="00EB6406"/>
    <w:rsid w:val="00EB687D"/>
    <w:rsid w:val="00EC0CDD"/>
    <w:rsid w:val="00EC101F"/>
    <w:rsid w:val="00EC375B"/>
    <w:rsid w:val="00ED0EE5"/>
    <w:rsid w:val="00ED0FF8"/>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177F"/>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с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ние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интервала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s>
</file>

<file path=word/webSettings.xml><?xml version="1.0" encoding="utf-8"?>
<w:webSettings xmlns:r="http://schemas.openxmlformats.org/officeDocument/2006/relationships" xmlns:w="http://schemas.openxmlformats.org/wordprocessingml/2006/main">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720590077">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74BB-B82A-4C88-A790-01AB43D2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20271</Words>
  <Characters>11556</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31764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11</cp:revision>
  <cp:lastPrinted>2023-08-14T08:28:00Z</cp:lastPrinted>
  <dcterms:created xsi:type="dcterms:W3CDTF">2023-08-04T11:46:00Z</dcterms:created>
  <dcterms:modified xsi:type="dcterms:W3CDTF">2023-09-18T13:43:00Z</dcterms:modified>
</cp:coreProperties>
</file>