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8" w:rsidRPr="000431E8" w:rsidRDefault="000431E8" w:rsidP="000431E8">
      <w:pPr>
        <w:pStyle w:val="a8"/>
        <w:jc w:val="right"/>
        <w:rPr>
          <w:b/>
          <w:color w:val="000000"/>
          <w:sz w:val="27"/>
          <w:szCs w:val="27"/>
        </w:rPr>
      </w:pPr>
      <w:r w:rsidRPr="000431E8">
        <w:rPr>
          <w:b/>
          <w:color w:val="000000"/>
          <w:sz w:val="27"/>
          <w:szCs w:val="27"/>
        </w:rPr>
        <w:t xml:space="preserve">ДОДАТОК № </w:t>
      </w:r>
      <w:r w:rsidR="00C74FD3">
        <w:rPr>
          <w:b/>
          <w:color w:val="000000"/>
          <w:sz w:val="27"/>
          <w:szCs w:val="27"/>
        </w:rPr>
        <w:t>3</w:t>
      </w:r>
      <w:r w:rsidRPr="000431E8">
        <w:rPr>
          <w:b/>
          <w:color w:val="000000"/>
          <w:sz w:val="27"/>
          <w:szCs w:val="27"/>
        </w:rPr>
        <w:br/>
        <w:t xml:space="preserve">до </w:t>
      </w:r>
      <w:r w:rsidR="00C74FD3">
        <w:rPr>
          <w:b/>
          <w:color w:val="000000"/>
          <w:sz w:val="27"/>
          <w:szCs w:val="27"/>
        </w:rPr>
        <w:t>оголошення</w:t>
      </w:r>
    </w:p>
    <w:p w:rsidR="00562D39" w:rsidRDefault="00562D39" w:rsidP="00C3166C">
      <w:pPr>
        <w:pStyle w:val="a4"/>
        <w:jc w:val="center"/>
        <w:rPr>
          <w:b/>
          <w:bCs/>
          <w:sz w:val="24"/>
          <w:szCs w:val="24"/>
          <w:lang w:val="uk-UA"/>
        </w:rPr>
      </w:pPr>
    </w:p>
    <w:p w:rsidR="00323348" w:rsidRDefault="00323348" w:rsidP="00C3166C">
      <w:pPr>
        <w:pStyle w:val="a4"/>
        <w:jc w:val="center"/>
        <w:rPr>
          <w:b/>
          <w:bCs/>
          <w:sz w:val="24"/>
          <w:szCs w:val="24"/>
          <w:lang w:val="uk-UA"/>
        </w:rPr>
      </w:pPr>
      <w:r w:rsidRPr="00430967">
        <w:rPr>
          <w:b/>
          <w:bCs/>
          <w:sz w:val="24"/>
          <w:szCs w:val="24"/>
          <w:lang w:val="uk-UA"/>
        </w:rPr>
        <w:t>ТЕХНІЧНІ, ЯКІСНІ ТА КІЛЬКІСНІ</w:t>
      </w:r>
    </w:p>
    <w:p w:rsidR="00323348" w:rsidRDefault="00323348" w:rsidP="00C3166C">
      <w:pPr>
        <w:pStyle w:val="a4"/>
        <w:jc w:val="center"/>
        <w:rPr>
          <w:b/>
          <w:bCs/>
          <w:sz w:val="24"/>
          <w:szCs w:val="24"/>
        </w:rPr>
      </w:pPr>
      <w:r w:rsidRPr="00430967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ХАРАКТЕРИСТИКИ ПРЕДМЕТА ЗАКУПІВЛІ</w:t>
      </w:r>
    </w:p>
    <w:p w:rsidR="00323348" w:rsidRDefault="00323348" w:rsidP="00C3166C">
      <w:pPr>
        <w:jc w:val="both"/>
        <w:rPr>
          <w:color w:val="000000"/>
        </w:rPr>
      </w:pPr>
    </w:p>
    <w:p w:rsidR="00323348" w:rsidRDefault="00323348" w:rsidP="00C3166C">
      <w:pPr>
        <w:jc w:val="both"/>
        <w:rPr>
          <w:color w:val="000000"/>
        </w:rPr>
      </w:pPr>
    </w:p>
    <w:p w:rsidR="00323348" w:rsidRDefault="00323348" w:rsidP="00C3166C">
      <w:pPr>
        <w:jc w:val="both"/>
        <w:rPr>
          <w:color w:val="000000"/>
        </w:rPr>
      </w:pP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140"/>
        <w:gridCol w:w="1761"/>
        <w:gridCol w:w="1559"/>
        <w:gridCol w:w="2326"/>
      </w:tblGrid>
      <w:tr w:rsidR="00323348">
        <w:trPr>
          <w:trHeight w:val="1150"/>
        </w:trPr>
        <w:tc>
          <w:tcPr>
            <w:tcW w:w="602" w:type="dxa"/>
          </w:tcPr>
          <w:p w:rsidR="00323348" w:rsidRDefault="0032334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323348" w:rsidRDefault="0032334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140" w:type="dxa"/>
          </w:tcPr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761" w:type="dxa"/>
          </w:tcPr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Одиниці</w:t>
            </w:r>
          </w:p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вимірювання</w:t>
            </w:r>
          </w:p>
        </w:tc>
        <w:tc>
          <w:tcPr>
            <w:tcW w:w="1559" w:type="dxa"/>
          </w:tcPr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Кількість,</w:t>
            </w:r>
          </w:p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 талонах</w:t>
            </w:r>
          </w:p>
        </w:tc>
        <w:tc>
          <w:tcPr>
            <w:tcW w:w="2326" w:type="dxa"/>
          </w:tcPr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Встановлені</w:t>
            </w:r>
          </w:p>
          <w:p w:rsidR="00323348" w:rsidRDefault="0032334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державні стандарти</w:t>
            </w:r>
          </w:p>
        </w:tc>
      </w:tr>
      <w:tr w:rsidR="004B7114" w:rsidTr="00211EDA">
        <w:trPr>
          <w:trHeight w:val="417"/>
        </w:trPr>
        <w:tc>
          <w:tcPr>
            <w:tcW w:w="602" w:type="dxa"/>
          </w:tcPr>
          <w:p w:rsidR="004B7114" w:rsidRPr="00403EE5" w:rsidRDefault="000A3D6B" w:rsidP="00403EE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03EE5" w:rsidRPr="00403EE5">
              <w:rPr>
                <w:lang w:val="uk-UA"/>
              </w:rPr>
              <w:t>.</w:t>
            </w:r>
          </w:p>
        </w:tc>
        <w:tc>
          <w:tcPr>
            <w:tcW w:w="2140" w:type="dxa"/>
            <w:vAlign w:val="center"/>
          </w:tcPr>
          <w:p w:rsidR="004B7114" w:rsidRDefault="00B369A6" w:rsidP="004B7114">
            <w:pPr>
              <w:spacing w:before="100" w:beforeAutospacing="1" w:after="119"/>
              <w:jc w:val="both"/>
              <w:rPr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Дизельне паливо</w:t>
            </w:r>
          </w:p>
        </w:tc>
        <w:tc>
          <w:tcPr>
            <w:tcW w:w="1761" w:type="dxa"/>
            <w:vAlign w:val="center"/>
          </w:tcPr>
          <w:p w:rsidR="004B7114" w:rsidRDefault="004B7114" w:rsidP="004B711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літр</w:t>
            </w:r>
          </w:p>
        </w:tc>
        <w:tc>
          <w:tcPr>
            <w:tcW w:w="1559" w:type="dxa"/>
            <w:vAlign w:val="center"/>
          </w:tcPr>
          <w:p w:rsidR="004B7114" w:rsidRDefault="009E263A" w:rsidP="00D0193F">
            <w:pPr>
              <w:spacing w:before="100" w:beforeAutospacing="1" w:after="119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  <w:r w:rsidR="00B369A6">
              <w:rPr>
                <w:b/>
                <w:bCs/>
                <w:lang w:val="uk-UA" w:eastAsia="uk-UA"/>
              </w:rPr>
              <w:t>500</w:t>
            </w:r>
          </w:p>
        </w:tc>
        <w:tc>
          <w:tcPr>
            <w:tcW w:w="2326" w:type="dxa"/>
            <w:vAlign w:val="center"/>
          </w:tcPr>
          <w:p w:rsidR="004B7114" w:rsidRDefault="004B7114" w:rsidP="004B7114">
            <w:pPr>
              <w:spacing w:before="100" w:beforeAutospacing="1" w:after="119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ДСТУ 7687:2015</w:t>
            </w:r>
          </w:p>
        </w:tc>
      </w:tr>
      <w:tr w:rsidR="004B7114" w:rsidTr="00CE6F66">
        <w:trPr>
          <w:trHeight w:val="417"/>
        </w:trPr>
        <w:tc>
          <w:tcPr>
            <w:tcW w:w="602" w:type="dxa"/>
          </w:tcPr>
          <w:p w:rsidR="004B7114" w:rsidRPr="00403EE5" w:rsidRDefault="000A3D6B" w:rsidP="00403EE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03EE5" w:rsidRPr="00403EE5">
              <w:rPr>
                <w:lang w:val="uk-UA"/>
              </w:rPr>
              <w:t>.</w:t>
            </w:r>
          </w:p>
        </w:tc>
        <w:tc>
          <w:tcPr>
            <w:tcW w:w="2140" w:type="dxa"/>
          </w:tcPr>
          <w:p w:rsidR="004B7114" w:rsidRDefault="004B7114" w:rsidP="004B7114">
            <w:pPr>
              <w:spacing w:line="25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Бензин А</w:t>
            </w:r>
            <w:r w:rsidR="00C74FD3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-95</w:t>
            </w:r>
          </w:p>
        </w:tc>
        <w:tc>
          <w:tcPr>
            <w:tcW w:w="1761" w:type="dxa"/>
            <w:vAlign w:val="center"/>
          </w:tcPr>
          <w:p w:rsidR="004B7114" w:rsidRDefault="004B7114" w:rsidP="004B711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літр</w:t>
            </w:r>
          </w:p>
        </w:tc>
        <w:tc>
          <w:tcPr>
            <w:tcW w:w="1559" w:type="dxa"/>
            <w:vAlign w:val="center"/>
          </w:tcPr>
          <w:p w:rsidR="004B7114" w:rsidRDefault="009E263A" w:rsidP="004B7114">
            <w:pPr>
              <w:spacing w:before="100" w:beforeAutospacing="1" w:after="119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  <w:r w:rsidR="00B369A6">
              <w:rPr>
                <w:b/>
                <w:bCs/>
                <w:lang w:val="uk-UA" w:eastAsia="uk-UA"/>
              </w:rPr>
              <w:t>00</w:t>
            </w:r>
          </w:p>
        </w:tc>
        <w:tc>
          <w:tcPr>
            <w:tcW w:w="2326" w:type="dxa"/>
            <w:vAlign w:val="center"/>
          </w:tcPr>
          <w:p w:rsidR="004B7114" w:rsidRDefault="004B7114" w:rsidP="004B7114">
            <w:pPr>
              <w:spacing w:before="100" w:beforeAutospacing="1" w:after="119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ДСТУ 7687:2015</w:t>
            </w:r>
          </w:p>
        </w:tc>
      </w:tr>
    </w:tbl>
    <w:p w:rsidR="00323348" w:rsidRDefault="00323348" w:rsidP="00C3166C"/>
    <w:p w:rsidR="00323348" w:rsidRDefault="00323348" w:rsidP="00C3166C">
      <w:pPr>
        <w:autoSpaceDN w:val="0"/>
        <w:adjustRightInd w:val="0"/>
      </w:pPr>
      <w:r>
        <w:t xml:space="preserve">      </w:t>
      </w:r>
    </w:p>
    <w:p w:rsidR="00323348" w:rsidRDefault="00323348" w:rsidP="00C3166C">
      <w:pPr>
        <w:autoSpaceDN w:val="0"/>
        <w:adjustRightInd w:val="0"/>
      </w:pPr>
    </w:p>
    <w:p w:rsidR="00323348" w:rsidRDefault="00323348" w:rsidP="00C316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ПЕРЕЛІК ДОКУМЕНТІВ, ПІДТВЕРДЖУЮЧИХ ВІДПОВІДНІСТЬ ПРЕДМЕТА ЗАКУПІВЛІ НОРМАТИВНО-ТЕХНІЧНІЙ ДОКУМЕНТАЦІЇ ТА ТЕХНІЧНИМ І ЯКІСНИМ ХАРАКТЕРИСТИКАМ</w:t>
      </w:r>
    </w:p>
    <w:p w:rsidR="00323348" w:rsidRDefault="00323348" w:rsidP="00C3166C">
      <w:pPr>
        <w:jc w:val="both"/>
        <w:rPr>
          <w:b/>
          <w:bCs/>
        </w:rPr>
      </w:pPr>
      <w:proofErr w:type="spellStart"/>
      <w:r>
        <w:rPr>
          <w:b/>
          <w:bCs/>
        </w:rPr>
        <w:t>Всі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технічні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кількісні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якісні</w:t>
      </w:r>
      <w:proofErr w:type="spellEnd"/>
      <w:r>
        <w:rPr>
          <w:b/>
          <w:bCs/>
        </w:rPr>
        <w:t xml:space="preserve"> характеристики </w:t>
      </w:r>
      <w:proofErr w:type="spellStart"/>
      <w:r>
        <w:rPr>
          <w:b/>
          <w:bCs/>
        </w:rPr>
        <w:t>повинні</w:t>
      </w:r>
      <w:proofErr w:type="spellEnd"/>
      <w:r>
        <w:rPr>
          <w:b/>
          <w:bCs/>
        </w:rPr>
        <w:t xml:space="preserve"> бути </w:t>
      </w:r>
      <w:proofErr w:type="spellStart"/>
      <w:r>
        <w:rPr>
          <w:b/>
          <w:bCs/>
        </w:rPr>
        <w:t>підтвердженими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відповідними</w:t>
      </w:r>
      <w:proofErr w:type="spellEnd"/>
      <w:r>
        <w:rPr>
          <w:b/>
          <w:bCs/>
        </w:rPr>
        <w:t xml:space="preserve"> документами: </w:t>
      </w: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товару – </w:t>
      </w:r>
      <w:r>
        <w:rPr>
          <w:color w:val="000000"/>
          <w:lang w:val="uk-UA"/>
        </w:rPr>
        <w:t>202</w:t>
      </w:r>
      <w:r w:rsidR="00B369A6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р.</w:t>
      </w:r>
    </w:p>
    <w:p w:rsidR="00323348" w:rsidRPr="00B369A6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proofErr w:type="spellStart"/>
      <w:r>
        <w:t>Найменування</w:t>
      </w:r>
      <w:proofErr w:type="spellEnd"/>
      <w:r>
        <w:t xml:space="preserve"> Товару –  </w:t>
      </w:r>
      <w:r w:rsidR="00C62767">
        <w:rPr>
          <w:b/>
          <w:lang w:val="uk-UA"/>
        </w:rPr>
        <w:t xml:space="preserve"> Бензин А</w:t>
      </w:r>
      <w:r w:rsidR="009E263A">
        <w:rPr>
          <w:b/>
          <w:lang w:val="uk-UA"/>
        </w:rPr>
        <w:t>і</w:t>
      </w:r>
      <w:bookmarkStart w:id="0" w:name="_GoBack"/>
      <w:bookmarkEnd w:id="0"/>
      <w:r w:rsidR="00C62767">
        <w:rPr>
          <w:b/>
          <w:lang w:val="uk-UA"/>
        </w:rPr>
        <w:t>-95</w:t>
      </w:r>
      <w:r w:rsidR="00B369A6">
        <w:rPr>
          <w:b/>
          <w:lang w:val="uk-UA"/>
        </w:rPr>
        <w:t>, Дизельне паливо.</w:t>
      </w:r>
      <w:r w:rsidR="00C62767">
        <w:rPr>
          <w:b/>
          <w:lang w:val="uk-UA"/>
        </w:rPr>
        <w:t xml:space="preserve"> </w:t>
      </w:r>
      <w:r>
        <w:t xml:space="preserve"> </w:t>
      </w:r>
    </w:p>
    <w:p w:rsidR="00B369A6" w:rsidRDefault="00B369A6" w:rsidP="00B369A6">
      <w:pPr>
        <w:pStyle w:val="a5"/>
        <w:ind w:left="0" w:right="-2"/>
        <w:jc w:val="both"/>
        <w:rPr>
          <w:color w:val="000000"/>
          <w:lang w:val="uk-UA"/>
        </w:rPr>
      </w:pPr>
    </w:p>
    <w:p w:rsidR="00B369A6" w:rsidRPr="00B369A6" w:rsidRDefault="00323348" w:rsidP="00225330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Товару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поставлятись</w:t>
      </w:r>
      <w:proofErr w:type="spellEnd"/>
      <w:r>
        <w:t xml:space="preserve"> </w:t>
      </w:r>
      <w:proofErr w:type="spellStart"/>
      <w:r>
        <w:t>складає</w:t>
      </w:r>
      <w:proofErr w:type="spellEnd"/>
      <w:r w:rsidR="004B7114">
        <w:rPr>
          <w:lang w:val="uk-UA"/>
        </w:rPr>
        <w:t>:</w:t>
      </w:r>
    </w:p>
    <w:p w:rsidR="00323348" w:rsidRDefault="004B7114" w:rsidP="00B369A6">
      <w:pPr>
        <w:pStyle w:val="a5"/>
        <w:ind w:left="0" w:right="-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B369A6">
        <w:rPr>
          <w:b/>
          <w:bCs/>
          <w:lang w:val="uk-UA"/>
        </w:rPr>
        <w:t>Бензин А</w:t>
      </w:r>
      <w:r w:rsidR="009E263A">
        <w:rPr>
          <w:b/>
          <w:bCs/>
          <w:lang w:val="uk-UA"/>
        </w:rPr>
        <w:t>і</w:t>
      </w:r>
      <w:r w:rsidRPr="00B369A6">
        <w:rPr>
          <w:b/>
          <w:bCs/>
          <w:lang w:val="uk-UA"/>
        </w:rPr>
        <w:t>-95</w:t>
      </w:r>
      <w:r>
        <w:rPr>
          <w:b/>
          <w:bCs/>
          <w:lang w:val="uk-UA"/>
        </w:rPr>
        <w:t xml:space="preserve">  - </w:t>
      </w:r>
      <w:r w:rsidR="009E263A">
        <w:rPr>
          <w:b/>
          <w:bCs/>
          <w:lang w:val="uk-UA"/>
        </w:rPr>
        <w:t>300літрів, Дизельне паливо 2</w:t>
      </w:r>
      <w:r w:rsidR="00B369A6">
        <w:rPr>
          <w:b/>
          <w:bCs/>
          <w:lang w:val="uk-UA"/>
        </w:rPr>
        <w:t>500л.</w:t>
      </w:r>
      <w:r>
        <w:rPr>
          <w:b/>
          <w:bCs/>
          <w:lang w:val="uk-UA"/>
        </w:rPr>
        <w:t xml:space="preserve"> </w:t>
      </w:r>
    </w:p>
    <w:p w:rsidR="00B369A6" w:rsidRDefault="00B369A6" w:rsidP="00B369A6">
      <w:pPr>
        <w:pStyle w:val="a5"/>
        <w:ind w:left="0" w:right="-2"/>
        <w:jc w:val="both"/>
        <w:rPr>
          <w:color w:val="000000"/>
          <w:lang w:val="uk-UA"/>
        </w:rPr>
      </w:pP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b/>
          <w:bCs/>
          <w:color w:val="000000"/>
          <w:lang w:val="uk-UA"/>
        </w:rPr>
      </w:pPr>
      <w:r>
        <w:t xml:space="preserve">Товар </w:t>
      </w:r>
      <w:proofErr w:type="spellStart"/>
      <w:r>
        <w:t>поставляється</w:t>
      </w:r>
      <w:proofErr w:type="spellEnd"/>
      <w:r>
        <w:t xml:space="preserve"> в талонах (</w:t>
      </w:r>
      <w:proofErr w:type="spellStart"/>
      <w:r>
        <w:t>пластикових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паперових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паливних</w:t>
      </w:r>
      <w:proofErr w:type="spellEnd"/>
      <w:r>
        <w:t xml:space="preserve"> </w:t>
      </w:r>
      <w:proofErr w:type="spellStart"/>
      <w:r>
        <w:t>скретч-карток</w:t>
      </w:r>
      <w:proofErr w:type="spellEnd"/>
      <w:r>
        <w:t xml:space="preserve"> –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до </w:t>
      </w:r>
      <w:r w:rsidR="009E263A">
        <w:rPr>
          <w:lang w:val="uk-UA"/>
        </w:rPr>
        <w:t>21</w:t>
      </w:r>
      <w:r w:rsidR="001C5548">
        <w:t>.</w:t>
      </w:r>
      <w:r w:rsidR="009E263A">
        <w:rPr>
          <w:lang w:val="uk-UA"/>
        </w:rPr>
        <w:t>11</w:t>
      </w:r>
      <w:r w:rsidR="001C5548">
        <w:rPr>
          <w:lang w:val="uk-UA"/>
        </w:rPr>
        <w:t>.</w:t>
      </w:r>
      <w:r>
        <w:rPr>
          <w:lang w:val="uk-UA"/>
        </w:rPr>
        <w:t>202</w:t>
      </w:r>
      <w:r w:rsidR="00225DBD">
        <w:rPr>
          <w:lang w:val="uk-UA"/>
        </w:rPr>
        <w:t>2</w:t>
      </w:r>
      <w:r>
        <w:t xml:space="preserve">року за адресою: 80100, </w:t>
      </w:r>
      <w:proofErr w:type="spellStart"/>
      <w:r>
        <w:t>Львівська</w:t>
      </w:r>
      <w:proofErr w:type="spellEnd"/>
      <w:r>
        <w:t xml:space="preserve"> область, м. Червоноград,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Промислова</w:t>
      </w:r>
      <w:proofErr w:type="spellEnd"/>
      <w:r>
        <w:t>, 1</w:t>
      </w:r>
      <w:r>
        <w:rPr>
          <w:lang w:val="uk-UA"/>
        </w:rPr>
        <w:t>.</w:t>
      </w:r>
    </w:p>
    <w:p w:rsidR="00323348" w:rsidRDefault="00323348" w:rsidP="00C3166C">
      <w:pPr>
        <w:pStyle w:val="a5"/>
        <w:ind w:left="0" w:right="-2"/>
        <w:jc w:val="both"/>
        <w:rPr>
          <w:sz w:val="22"/>
          <w:szCs w:val="22"/>
          <w:shd w:val="clear" w:color="auto" w:fill="FFFFFF"/>
          <w:lang w:val="uk-UA"/>
        </w:rPr>
      </w:pPr>
      <w:proofErr w:type="spellStart"/>
      <w:r w:rsidRPr="00430967">
        <w:rPr>
          <w:sz w:val="22"/>
          <w:szCs w:val="22"/>
        </w:rPr>
        <w:t>Талони</w:t>
      </w:r>
      <w:proofErr w:type="spellEnd"/>
      <w:r w:rsidRPr="00430967">
        <w:rPr>
          <w:sz w:val="22"/>
          <w:szCs w:val="22"/>
        </w:rPr>
        <w:t>/</w:t>
      </w:r>
      <w:proofErr w:type="spellStart"/>
      <w:r w:rsidRPr="00430967">
        <w:rPr>
          <w:sz w:val="22"/>
          <w:szCs w:val="22"/>
        </w:rPr>
        <w:t>скретч-картки</w:t>
      </w:r>
      <w:proofErr w:type="spellEnd"/>
      <w:r w:rsidRPr="00430967">
        <w:rPr>
          <w:sz w:val="22"/>
          <w:szCs w:val="22"/>
        </w:rPr>
        <w:t xml:space="preserve"> </w:t>
      </w:r>
      <w:proofErr w:type="spellStart"/>
      <w:r w:rsidRPr="00430967">
        <w:rPr>
          <w:sz w:val="22"/>
          <w:szCs w:val="22"/>
        </w:rPr>
        <w:t>повинні</w:t>
      </w:r>
      <w:proofErr w:type="spellEnd"/>
      <w:r w:rsidRPr="00430967">
        <w:rPr>
          <w:sz w:val="22"/>
          <w:szCs w:val="22"/>
        </w:rPr>
        <w:t xml:space="preserve"> бути </w:t>
      </w:r>
      <w:proofErr w:type="spellStart"/>
      <w:r w:rsidRPr="00430967">
        <w:rPr>
          <w:sz w:val="22"/>
          <w:szCs w:val="22"/>
        </w:rPr>
        <w:t>номінало</w:t>
      </w:r>
      <w:r w:rsidRPr="00430967">
        <w:rPr>
          <w:sz w:val="22"/>
          <w:szCs w:val="22"/>
          <w:shd w:val="clear" w:color="auto" w:fill="FFFFFF"/>
        </w:rPr>
        <w:t>м</w:t>
      </w:r>
      <w:proofErr w:type="spellEnd"/>
      <w:r w:rsidRPr="00430967">
        <w:rPr>
          <w:sz w:val="22"/>
          <w:szCs w:val="22"/>
          <w:shd w:val="clear" w:color="auto" w:fill="FFFFFF"/>
        </w:rPr>
        <w:t xml:space="preserve"> </w:t>
      </w:r>
      <w:r w:rsidR="00536049">
        <w:rPr>
          <w:sz w:val="22"/>
          <w:szCs w:val="22"/>
          <w:shd w:val="clear" w:color="auto" w:fill="FFFFFF"/>
          <w:lang w:val="uk-UA"/>
        </w:rPr>
        <w:t>10</w:t>
      </w:r>
      <w:r w:rsidRPr="00430967">
        <w:rPr>
          <w:sz w:val="22"/>
          <w:szCs w:val="22"/>
          <w:shd w:val="clear" w:color="auto" w:fill="FFFFFF"/>
          <w:lang w:val="uk-UA"/>
        </w:rPr>
        <w:t xml:space="preserve">, </w:t>
      </w:r>
      <w:r w:rsidR="00536049">
        <w:rPr>
          <w:sz w:val="22"/>
          <w:szCs w:val="22"/>
          <w:shd w:val="clear" w:color="auto" w:fill="FFFFFF"/>
          <w:lang w:val="uk-UA"/>
        </w:rPr>
        <w:t>20</w:t>
      </w:r>
      <w:r w:rsidRPr="00430967">
        <w:rPr>
          <w:sz w:val="22"/>
          <w:szCs w:val="22"/>
          <w:shd w:val="clear" w:color="auto" w:fill="FFFFFF"/>
          <w:lang w:val="uk-UA"/>
        </w:rPr>
        <w:t xml:space="preserve"> л.</w:t>
      </w:r>
    </w:p>
    <w:p w:rsidR="00B369A6" w:rsidRDefault="00B369A6" w:rsidP="00C3166C">
      <w:pPr>
        <w:pStyle w:val="a5"/>
        <w:ind w:left="0" w:right="-2"/>
        <w:jc w:val="both"/>
        <w:rPr>
          <w:sz w:val="22"/>
          <w:szCs w:val="22"/>
          <w:shd w:val="clear" w:color="auto" w:fill="FFFFFF"/>
          <w:lang w:val="uk-UA"/>
        </w:rPr>
      </w:pPr>
    </w:p>
    <w:p w:rsidR="00323348" w:rsidRDefault="00536049" w:rsidP="002C638F">
      <w:pPr>
        <w:pStyle w:val="a5"/>
        <w:ind w:left="0" w:right="-2"/>
        <w:jc w:val="both"/>
        <w:rPr>
          <w:b/>
          <w:bCs/>
          <w:color w:val="000000"/>
          <w:lang w:val="uk-UA"/>
        </w:rPr>
      </w:pPr>
      <w:r>
        <w:rPr>
          <w:lang w:val="uk-UA"/>
        </w:rPr>
        <w:t>Д</w:t>
      </w:r>
      <w:proofErr w:type="spellStart"/>
      <w:r w:rsidR="00323348">
        <w:t>изельне</w:t>
      </w:r>
      <w:proofErr w:type="spellEnd"/>
      <w:r w:rsidR="00323348">
        <w:t xml:space="preserve"> </w:t>
      </w:r>
      <w:proofErr w:type="spellStart"/>
      <w:r w:rsidR="00323348">
        <w:t>паливо</w:t>
      </w:r>
      <w:proofErr w:type="spellEnd"/>
      <w:r w:rsidR="00323348">
        <w:t xml:space="preserve"> повинно </w:t>
      </w:r>
      <w:proofErr w:type="spellStart"/>
      <w:r w:rsidR="00323348">
        <w:t>відповідати</w:t>
      </w:r>
      <w:proofErr w:type="spellEnd"/>
      <w:r w:rsidR="00323348">
        <w:t xml:space="preserve"> </w:t>
      </w:r>
      <w:proofErr w:type="spellStart"/>
      <w:r w:rsidR="00323348">
        <w:t>діючим</w:t>
      </w:r>
      <w:proofErr w:type="spellEnd"/>
      <w:r w:rsidR="00323348">
        <w:t xml:space="preserve"> </w:t>
      </w:r>
      <w:proofErr w:type="spellStart"/>
      <w:r w:rsidR="00323348">
        <w:t>державним</w:t>
      </w:r>
      <w:proofErr w:type="spellEnd"/>
      <w:r w:rsidR="00323348">
        <w:t xml:space="preserve"> стандартам, </w:t>
      </w:r>
      <w:proofErr w:type="spellStart"/>
      <w:r w:rsidR="00323348">
        <w:t>технічним</w:t>
      </w:r>
      <w:proofErr w:type="spellEnd"/>
      <w:r w:rsidR="00323348">
        <w:t xml:space="preserve"> </w:t>
      </w:r>
      <w:proofErr w:type="spellStart"/>
      <w:r w:rsidR="00323348">
        <w:t>умовам</w:t>
      </w:r>
      <w:proofErr w:type="spellEnd"/>
      <w:r w:rsidR="00323348">
        <w:t xml:space="preserve"> та чинному </w:t>
      </w:r>
      <w:proofErr w:type="spellStart"/>
      <w:r w:rsidR="00323348">
        <w:t>законодавству</w:t>
      </w:r>
      <w:proofErr w:type="spellEnd"/>
      <w:r w:rsidR="00323348">
        <w:t xml:space="preserve"> </w:t>
      </w:r>
      <w:proofErr w:type="spellStart"/>
      <w:r w:rsidR="00323348">
        <w:t>щодо</w:t>
      </w:r>
      <w:proofErr w:type="spellEnd"/>
      <w:r w:rsidR="00323348">
        <w:t xml:space="preserve"> </w:t>
      </w:r>
      <w:proofErr w:type="spellStart"/>
      <w:r w:rsidR="00323348">
        <w:t>показників</w:t>
      </w:r>
      <w:proofErr w:type="spellEnd"/>
      <w:r w:rsidR="00323348">
        <w:t xml:space="preserve"> </w:t>
      </w:r>
      <w:proofErr w:type="spellStart"/>
      <w:r w:rsidR="00323348">
        <w:t>якості</w:t>
      </w:r>
      <w:proofErr w:type="spellEnd"/>
      <w:r w:rsidR="00323348">
        <w:t xml:space="preserve"> такого виду товару з </w:t>
      </w:r>
      <w:proofErr w:type="spellStart"/>
      <w:r w:rsidR="00323348">
        <w:t>Сертифікатом</w:t>
      </w:r>
      <w:proofErr w:type="spellEnd"/>
      <w:r w:rsidR="00323348">
        <w:t xml:space="preserve"> </w:t>
      </w:r>
      <w:proofErr w:type="spellStart"/>
      <w:r w:rsidR="00323348">
        <w:t>відповідності</w:t>
      </w:r>
      <w:proofErr w:type="spellEnd"/>
      <w:r w:rsidR="00323348">
        <w:t xml:space="preserve">.  В </w:t>
      </w:r>
      <w:proofErr w:type="spellStart"/>
      <w:r w:rsidR="00323348">
        <w:t>підтвердження</w:t>
      </w:r>
      <w:proofErr w:type="spellEnd"/>
      <w:r w:rsidR="00323348">
        <w:rPr>
          <w:lang w:val="uk-UA"/>
        </w:rPr>
        <w:t xml:space="preserve"> надати сканований оригінал (копію) с</w:t>
      </w:r>
      <w:proofErr w:type="spellStart"/>
      <w:r w:rsidR="00323348">
        <w:t>ертифікат</w:t>
      </w:r>
      <w:proofErr w:type="spellEnd"/>
      <w:r w:rsidR="00323348">
        <w:rPr>
          <w:lang w:val="uk-UA"/>
        </w:rPr>
        <w:t xml:space="preserve">у </w:t>
      </w:r>
      <w:proofErr w:type="spellStart"/>
      <w:r w:rsidR="00323348">
        <w:t>відповідності</w:t>
      </w:r>
      <w:proofErr w:type="spellEnd"/>
      <w:r w:rsidR="00323348">
        <w:t xml:space="preserve">, </w:t>
      </w:r>
      <w:r w:rsidR="00323348">
        <w:rPr>
          <w:lang w:val="uk-UA"/>
        </w:rPr>
        <w:t>виданий органом сертифікації відповідної галузі на предмет закупівлі</w:t>
      </w:r>
      <w:r w:rsidR="00323348">
        <w:t xml:space="preserve">. </w:t>
      </w:r>
      <w:r w:rsidR="00323348">
        <w:rPr>
          <w:i/>
          <w:iCs/>
        </w:rPr>
        <w:t xml:space="preserve">У </w:t>
      </w:r>
      <w:proofErr w:type="spellStart"/>
      <w:r w:rsidR="00323348">
        <w:rPr>
          <w:i/>
          <w:iCs/>
        </w:rPr>
        <w:t>випадку</w:t>
      </w:r>
      <w:proofErr w:type="spellEnd"/>
      <w:r w:rsidR="00323348">
        <w:rPr>
          <w:i/>
          <w:iCs/>
        </w:rPr>
        <w:t xml:space="preserve">, </w:t>
      </w:r>
      <w:proofErr w:type="spellStart"/>
      <w:r w:rsidR="00323348">
        <w:rPr>
          <w:i/>
          <w:iCs/>
        </w:rPr>
        <w:t>якщо</w:t>
      </w:r>
      <w:proofErr w:type="spellEnd"/>
      <w:r w:rsidR="00323348">
        <w:rPr>
          <w:i/>
          <w:iCs/>
        </w:rPr>
        <w:t xml:space="preserve"> товар не </w:t>
      </w:r>
      <w:proofErr w:type="spellStart"/>
      <w:r w:rsidR="00323348">
        <w:rPr>
          <w:i/>
          <w:iCs/>
        </w:rPr>
        <w:t>підлягає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обов’язковій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сертифікації</w:t>
      </w:r>
      <w:proofErr w:type="spellEnd"/>
      <w:r w:rsidR="00323348">
        <w:rPr>
          <w:i/>
          <w:iCs/>
        </w:rPr>
        <w:t xml:space="preserve"> в </w:t>
      </w:r>
      <w:proofErr w:type="spellStart"/>
      <w:r w:rsidR="00323348">
        <w:rPr>
          <w:i/>
          <w:iCs/>
        </w:rPr>
        <w:t>Україні</w:t>
      </w:r>
      <w:proofErr w:type="spellEnd"/>
      <w:r w:rsidR="00323348">
        <w:rPr>
          <w:i/>
          <w:iCs/>
        </w:rPr>
        <w:t xml:space="preserve"> – </w:t>
      </w:r>
      <w:proofErr w:type="spellStart"/>
      <w:r w:rsidR="00323348">
        <w:rPr>
          <w:i/>
          <w:iCs/>
        </w:rPr>
        <w:t>учасник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надає</w:t>
      </w:r>
      <w:proofErr w:type="spellEnd"/>
      <w:r w:rsidR="00323348">
        <w:rPr>
          <w:i/>
          <w:iCs/>
        </w:rPr>
        <w:t xml:space="preserve"> у </w:t>
      </w:r>
      <w:proofErr w:type="spellStart"/>
      <w:r w:rsidR="00323348">
        <w:rPr>
          <w:i/>
          <w:iCs/>
        </w:rPr>
        <w:t>довільній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формі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довідку</w:t>
      </w:r>
      <w:proofErr w:type="spellEnd"/>
      <w:r w:rsidR="00323348">
        <w:rPr>
          <w:i/>
          <w:iCs/>
        </w:rPr>
        <w:t xml:space="preserve"> з </w:t>
      </w:r>
      <w:proofErr w:type="spellStart"/>
      <w:r w:rsidR="00323348">
        <w:rPr>
          <w:i/>
          <w:iCs/>
        </w:rPr>
        <w:t>посиланням</w:t>
      </w:r>
      <w:proofErr w:type="spellEnd"/>
      <w:r w:rsidR="00323348">
        <w:rPr>
          <w:i/>
          <w:iCs/>
        </w:rPr>
        <w:t xml:space="preserve"> на </w:t>
      </w:r>
      <w:proofErr w:type="spellStart"/>
      <w:r w:rsidR="00323348">
        <w:rPr>
          <w:i/>
          <w:iCs/>
        </w:rPr>
        <w:t>норми</w:t>
      </w:r>
      <w:proofErr w:type="spellEnd"/>
      <w:r w:rsidR="00323348">
        <w:rPr>
          <w:i/>
          <w:iCs/>
        </w:rPr>
        <w:t xml:space="preserve"> чинного </w:t>
      </w:r>
      <w:proofErr w:type="spellStart"/>
      <w:r w:rsidR="00323348">
        <w:rPr>
          <w:i/>
          <w:iCs/>
        </w:rPr>
        <w:t>законодавства</w:t>
      </w:r>
      <w:proofErr w:type="spellEnd"/>
      <w:r w:rsidR="00323348">
        <w:rPr>
          <w:i/>
          <w:iCs/>
        </w:rPr>
        <w:t xml:space="preserve">, про те, </w:t>
      </w:r>
      <w:proofErr w:type="spellStart"/>
      <w:r w:rsidR="00323348">
        <w:rPr>
          <w:i/>
          <w:iCs/>
        </w:rPr>
        <w:t>що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запропонована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продукція</w:t>
      </w:r>
      <w:proofErr w:type="spellEnd"/>
      <w:r w:rsidR="00323348">
        <w:rPr>
          <w:i/>
          <w:iCs/>
        </w:rPr>
        <w:t xml:space="preserve"> не </w:t>
      </w:r>
      <w:proofErr w:type="spellStart"/>
      <w:r w:rsidR="00323348">
        <w:rPr>
          <w:i/>
          <w:iCs/>
        </w:rPr>
        <w:t>підлягає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обов’язковій</w:t>
      </w:r>
      <w:proofErr w:type="spellEnd"/>
      <w:r w:rsidR="00323348">
        <w:rPr>
          <w:i/>
          <w:iCs/>
        </w:rPr>
        <w:t xml:space="preserve"> </w:t>
      </w:r>
      <w:proofErr w:type="spellStart"/>
      <w:r w:rsidR="00323348">
        <w:rPr>
          <w:i/>
          <w:iCs/>
        </w:rPr>
        <w:t>сертифікації</w:t>
      </w:r>
      <w:proofErr w:type="spellEnd"/>
      <w:r w:rsidR="00323348">
        <w:rPr>
          <w:i/>
          <w:iCs/>
        </w:rPr>
        <w:t xml:space="preserve"> в </w:t>
      </w:r>
      <w:proofErr w:type="spellStart"/>
      <w:r w:rsidR="00323348">
        <w:rPr>
          <w:i/>
          <w:iCs/>
        </w:rPr>
        <w:t>Україні</w:t>
      </w:r>
      <w:proofErr w:type="spellEnd"/>
      <w:r w:rsidR="002C638F">
        <w:rPr>
          <w:i/>
          <w:iCs/>
          <w:lang w:val="uk-UA"/>
        </w:rPr>
        <w:t>.</w:t>
      </w: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proofErr w:type="spellStart"/>
      <w:r>
        <w:t>Здійснення</w:t>
      </w:r>
      <w:proofErr w:type="spellEnd"/>
      <w:r>
        <w:t xml:space="preserve"> заправки за </w:t>
      </w:r>
      <w:proofErr w:type="spellStart"/>
      <w:r>
        <w:t>наданими</w:t>
      </w:r>
      <w:proofErr w:type="spellEnd"/>
      <w:r>
        <w:t xml:space="preserve"> талонами (</w:t>
      </w:r>
      <w:proofErr w:type="spellStart"/>
      <w:r>
        <w:t>пластиковими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паперовими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паливними</w:t>
      </w:r>
      <w:proofErr w:type="spellEnd"/>
      <w:r>
        <w:t xml:space="preserve"> </w:t>
      </w:r>
      <w:proofErr w:type="spellStart"/>
      <w:r>
        <w:t>скретч-картками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цілодобово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rPr>
          <w:b/>
          <w:bCs/>
        </w:rPr>
        <w:t>власних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орендованих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автозаправних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станцій</w:t>
      </w:r>
      <w:proofErr w:type="spellEnd"/>
      <w:r>
        <w:rPr>
          <w:b/>
          <w:bCs/>
        </w:rPr>
        <w:t xml:space="preserve"> (</w:t>
      </w:r>
      <w:proofErr w:type="spellStart"/>
      <w:proofErr w:type="gramStart"/>
      <w:r>
        <w:rPr>
          <w:b/>
          <w:bCs/>
        </w:rPr>
        <w:t>далі</w:t>
      </w:r>
      <w:proofErr w:type="spellEnd"/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АЗС)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. </w:t>
      </w:r>
      <w:r>
        <w:rPr>
          <w:b/>
          <w:bCs/>
          <w:lang w:val="uk-UA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щоденний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цілодобовий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відпуск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пального</w:t>
      </w:r>
      <w:proofErr w:type="spellEnd"/>
      <w:r>
        <w:rPr>
          <w:color w:val="000000"/>
        </w:rPr>
        <w:t xml:space="preserve"> на АЗС.</w:t>
      </w: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Учасник повинен надати у складі тендерної пропозиції довідку в довільній формі про перелік </w:t>
      </w:r>
      <w:r>
        <w:rPr>
          <w:b/>
          <w:bCs/>
          <w:color w:val="000000"/>
          <w:lang w:val="uk-UA"/>
        </w:rPr>
        <w:t>власних або орендованих (автозаправних станцій) АЗС</w:t>
      </w:r>
      <w:r>
        <w:rPr>
          <w:color w:val="000000"/>
          <w:lang w:val="uk-UA"/>
        </w:rPr>
        <w:t xml:space="preserve"> із зазначенням адреси місцезнаходження, що розташовані в межах </w:t>
      </w:r>
      <w:r>
        <w:rPr>
          <w:lang w:val="uk-UA"/>
        </w:rPr>
        <w:t>м. Червонограда.</w:t>
      </w: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разі наявності власних або орендованих АЗС, учасник процедури закупівлі повинен надати в складі тендерної пропозиції </w:t>
      </w:r>
      <w:r>
        <w:rPr>
          <w:b/>
          <w:bCs/>
          <w:color w:val="000000"/>
          <w:lang w:val="uk-UA"/>
        </w:rPr>
        <w:t>копії правовстановлюючих документів, що підтверджують законні підстави використання учасником АЗС (договори оренди з вказівкою дислокацій АЗС).</w:t>
      </w: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В</w:t>
      </w:r>
      <w:r>
        <w:rPr>
          <w:lang w:val="uk-UA" w:eastAsia="uk-UA"/>
        </w:rPr>
        <w:t>ідпуск Товару з АЗС здійснюється за довірчими документами (</w:t>
      </w:r>
      <w:proofErr w:type="spellStart"/>
      <w:r>
        <w:rPr>
          <w:lang w:val="uk-UA" w:eastAsia="uk-UA"/>
        </w:rPr>
        <w:t>скретч</w:t>
      </w:r>
      <w:proofErr w:type="spellEnd"/>
      <w:r>
        <w:rPr>
          <w:lang w:val="uk-UA" w:eastAsia="uk-UA"/>
        </w:rPr>
        <w:t xml:space="preserve">-картками, смарт- картками, талонами). </w:t>
      </w:r>
      <w:r>
        <w:rPr>
          <w:color w:val="000000"/>
        </w:rPr>
        <w:t xml:space="preserve">Товар </w:t>
      </w:r>
      <w:proofErr w:type="spellStart"/>
      <w:r>
        <w:rPr>
          <w:color w:val="000000"/>
        </w:rPr>
        <w:t>поставляється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партіями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потреби </w:t>
      </w:r>
      <w:proofErr w:type="spellStart"/>
      <w:r>
        <w:rPr>
          <w:color w:val="000000"/>
        </w:rPr>
        <w:t>Покупця</w:t>
      </w:r>
      <w:proofErr w:type="spellEnd"/>
      <w:r>
        <w:rPr>
          <w:color w:val="000000"/>
        </w:rPr>
        <w:t>.</w:t>
      </w:r>
    </w:p>
    <w:p w:rsidR="00323348" w:rsidRDefault="00323348" w:rsidP="00C3166C">
      <w:pPr>
        <w:pStyle w:val="a5"/>
        <w:numPr>
          <w:ilvl w:val="0"/>
          <w:numId w:val="1"/>
        </w:numPr>
        <w:ind w:left="0" w:right="-2"/>
        <w:jc w:val="both"/>
        <w:rPr>
          <w:color w:val="000000"/>
          <w:lang w:val="uk-UA"/>
        </w:rPr>
      </w:pPr>
      <w:r>
        <w:rPr>
          <w:color w:val="000000"/>
        </w:rPr>
        <w:lastRenderedPageBreak/>
        <w:t xml:space="preserve">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Товару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зменшені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фактичного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. </w:t>
      </w:r>
    </w:p>
    <w:p w:rsidR="00323348" w:rsidRPr="00430967" w:rsidRDefault="00323348" w:rsidP="00C3166C">
      <w:pPr>
        <w:pStyle w:val="a5"/>
        <w:numPr>
          <w:ilvl w:val="0"/>
          <w:numId w:val="1"/>
        </w:numPr>
        <w:shd w:val="clear" w:color="auto" w:fill="FFFFFF"/>
        <w:spacing w:after="150"/>
        <w:ind w:left="0" w:right="-2"/>
        <w:jc w:val="both"/>
        <w:rPr>
          <w:lang w:val="uk-UA"/>
        </w:rPr>
      </w:pPr>
      <w:r w:rsidRPr="00430967">
        <w:rPr>
          <w:lang w:val="uk-UA"/>
        </w:rPr>
        <w:t>Зміна ціни товару можлива лише шляхом підписання сторонами відповідної додаткової угоди, за умови, якщо Постачальник надає належним чином оформлену довідку ДП «</w:t>
      </w:r>
      <w:proofErr w:type="spellStart"/>
      <w:r w:rsidRPr="00430967">
        <w:rPr>
          <w:lang w:val="uk-UA"/>
        </w:rPr>
        <w:t>Держзовнішінформ</w:t>
      </w:r>
      <w:proofErr w:type="spellEnd"/>
      <w:r w:rsidRPr="00430967">
        <w:rPr>
          <w:lang w:val="uk-UA"/>
        </w:rPr>
        <w:t xml:space="preserve">» (розрахунок середнього арифметичного значення ціни за наявними ціновими пропозиціями на постачання між мінімальним та максимальним значенням у роздрібній торгівлі.), якою будуть підтверджені підстави для зміни ціни в період з дати проведення реверсивного аукціону до дати зміни такої ціни. </w:t>
      </w:r>
    </w:p>
    <w:p w:rsidR="00323348" w:rsidRPr="00430967" w:rsidRDefault="00323348" w:rsidP="00C3166C">
      <w:pPr>
        <w:pStyle w:val="a5"/>
        <w:tabs>
          <w:tab w:val="center" w:pos="4677"/>
        </w:tabs>
        <w:autoSpaceDN w:val="0"/>
        <w:adjustRightInd w:val="0"/>
        <w:ind w:left="0"/>
        <w:jc w:val="both"/>
        <w:rPr>
          <w:lang w:val="uk-UA"/>
        </w:rPr>
      </w:pPr>
      <w:r w:rsidRPr="00430967">
        <w:rPr>
          <w:lang w:val="uk-UA"/>
        </w:rPr>
        <w:t>У випадку, якщо вищезазначена довідка ДП «</w:t>
      </w:r>
      <w:proofErr w:type="spellStart"/>
      <w:r w:rsidRPr="00430967">
        <w:rPr>
          <w:lang w:val="uk-UA"/>
        </w:rPr>
        <w:t>Держзовнішінформ</w:t>
      </w:r>
      <w:proofErr w:type="spellEnd"/>
      <w:r w:rsidRPr="00430967">
        <w:rPr>
          <w:lang w:val="uk-UA"/>
        </w:rPr>
        <w:t>» підтвердить зміну ціни товару, в такому разі розрахунок зміни ціни одиниці товару здійснюватиметься за наступною формулою:</w:t>
      </w:r>
    </w:p>
    <w:p w:rsidR="00323348" w:rsidRPr="00430967" w:rsidRDefault="00323348" w:rsidP="00C3166C">
      <w:pPr>
        <w:pStyle w:val="a5"/>
        <w:tabs>
          <w:tab w:val="center" w:pos="4677"/>
        </w:tabs>
        <w:autoSpaceDN w:val="0"/>
        <w:adjustRightInd w:val="0"/>
        <w:ind w:left="0"/>
        <w:jc w:val="both"/>
        <w:rPr>
          <w:b/>
          <w:bCs/>
          <w:lang w:val="uk-UA"/>
        </w:rPr>
      </w:pPr>
    </w:p>
    <w:p w:rsidR="00323348" w:rsidRPr="00430967" w:rsidRDefault="00323348" w:rsidP="00C3166C">
      <w:pPr>
        <w:pStyle w:val="11"/>
        <w:shd w:val="clear" w:color="auto" w:fill="auto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30967">
        <w:rPr>
          <w:rStyle w:val="1TrebuchetMS"/>
          <w:rFonts w:ascii="Times New Roman" w:hAnsi="Times New Roman"/>
          <w:b/>
          <w:bCs/>
          <w:iCs/>
          <w:sz w:val="24"/>
          <w:szCs w:val="24"/>
        </w:rPr>
        <w:t>С</w:t>
      </w:r>
      <w:r w:rsidRPr="00430967">
        <w:rPr>
          <w:rStyle w:val="1TrebuchetMS"/>
          <w:rFonts w:ascii="Times New Roman" w:hAnsi="Times New Roman"/>
          <w:b/>
          <w:bCs/>
          <w:iCs/>
          <w:sz w:val="24"/>
          <w:szCs w:val="24"/>
          <w:vertAlign w:val="subscript"/>
        </w:rPr>
        <w:t>Т</w:t>
      </w:r>
      <w:r w:rsidRPr="00430967">
        <w:rPr>
          <w:rFonts w:ascii="Times New Roman" w:hAnsi="Times New Roman"/>
          <w:b/>
          <w:bCs/>
          <w:sz w:val="24"/>
          <w:szCs w:val="24"/>
        </w:rPr>
        <w:t xml:space="preserve"> = С</w:t>
      </w:r>
      <w:r w:rsidRPr="00430967">
        <w:rPr>
          <w:rFonts w:ascii="Times New Roman" w:hAnsi="Times New Roman"/>
          <w:b/>
          <w:bCs/>
          <w:sz w:val="24"/>
          <w:szCs w:val="24"/>
          <w:vertAlign w:val="subscript"/>
        </w:rPr>
        <w:t>А</w:t>
      </w:r>
      <w:r w:rsidRPr="00430967">
        <w:rPr>
          <w:rFonts w:ascii="Times New Roman" w:hAnsi="Times New Roman"/>
          <w:b/>
          <w:bCs/>
          <w:sz w:val="24"/>
          <w:szCs w:val="24"/>
        </w:rPr>
        <w:t xml:space="preserve"> * (Р</w:t>
      </w:r>
      <w:r w:rsidRPr="00430967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430967">
        <w:rPr>
          <w:rFonts w:ascii="Times New Roman" w:hAnsi="Times New Roman"/>
          <w:b/>
          <w:bCs/>
          <w:sz w:val="24"/>
          <w:szCs w:val="24"/>
        </w:rPr>
        <w:t>/Р</w:t>
      </w:r>
      <w:r w:rsidRPr="00430967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430967">
        <w:rPr>
          <w:rFonts w:ascii="Times New Roman" w:hAnsi="Times New Roman"/>
          <w:b/>
          <w:bCs/>
          <w:sz w:val="24"/>
          <w:szCs w:val="24"/>
        </w:rPr>
        <w:t>),</w:t>
      </w:r>
    </w:p>
    <w:p w:rsidR="00323348" w:rsidRPr="00430967" w:rsidRDefault="00323348" w:rsidP="00C3166C">
      <w:pPr>
        <w:pStyle w:val="11"/>
        <w:shd w:val="clear" w:color="auto" w:fill="auto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3348" w:rsidRPr="00430967" w:rsidRDefault="00323348" w:rsidP="00C3166C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430967">
        <w:rPr>
          <w:rFonts w:ascii="Times New Roman" w:hAnsi="Times New Roman"/>
          <w:sz w:val="24"/>
          <w:szCs w:val="24"/>
        </w:rPr>
        <w:t>де С</w:t>
      </w:r>
      <w:r w:rsidRPr="00430967">
        <w:rPr>
          <w:rFonts w:ascii="Times New Roman" w:hAnsi="Times New Roman"/>
          <w:sz w:val="24"/>
          <w:szCs w:val="24"/>
          <w:vertAlign w:val="subscript"/>
        </w:rPr>
        <w:t>Т</w:t>
      </w:r>
      <w:r w:rsidRPr="00430967">
        <w:rPr>
          <w:rFonts w:ascii="Times New Roman" w:hAnsi="Times New Roman"/>
          <w:sz w:val="24"/>
          <w:szCs w:val="24"/>
        </w:rPr>
        <w:t xml:space="preserve"> - остаточна вартість одиниці товару на дату поставки (дата підписання податкової накладної);</w:t>
      </w:r>
    </w:p>
    <w:p w:rsidR="00323348" w:rsidRPr="00430967" w:rsidRDefault="00323348" w:rsidP="00C3166C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430967">
        <w:rPr>
          <w:rStyle w:val="2FranklinGothicBook"/>
          <w:rFonts w:ascii="Times New Roman" w:hAnsi="Times New Roman"/>
          <w:iCs/>
          <w:sz w:val="24"/>
          <w:szCs w:val="24"/>
        </w:rPr>
        <w:t>С</w:t>
      </w:r>
      <w:r w:rsidRPr="00430967">
        <w:rPr>
          <w:rStyle w:val="2FranklinGothicBook"/>
          <w:rFonts w:ascii="Times New Roman" w:hAnsi="Times New Roman"/>
          <w:iCs/>
          <w:sz w:val="24"/>
          <w:szCs w:val="24"/>
          <w:vertAlign w:val="subscript"/>
        </w:rPr>
        <w:t>А</w:t>
      </w:r>
      <w:r w:rsidRPr="00430967">
        <w:rPr>
          <w:rStyle w:val="2FranklinGothicBook"/>
          <w:rFonts w:ascii="Times New Roman" w:hAnsi="Times New Roman"/>
          <w:iCs/>
          <w:sz w:val="24"/>
          <w:szCs w:val="24"/>
        </w:rPr>
        <w:t xml:space="preserve"> -</w:t>
      </w:r>
      <w:r w:rsidRPr="00430967">
        <w:rPr>
          <w:rFonts w:ascii="Times New Roman" w:hAnsi="Times New Roman"/>
          <w:sz w:val="24"/>
          <w:szCs w:val="24"/>
        </w:rPr>
        <w:t xml:space="preserve"> вартість одиниці </w:t>
      </w:r>
      <w:proofErr w:type="spellStart"/>
      <w:r w:rsidRPr="00430967">
        <w:rPr>
          <w:rFonts w:ascii="Times New Roman" w:hAnsi="Times New Roman"/>
          <w:sz w:val="24"/>
          <w:szCs w:val="24"/>
        </w:rPr>
        <w:t>товара</w:t>
      </w:r>
      <w:proofErr w:type="spellEnd"/>
      <w:r w:rsidRPr="00430967">
        <w:rPr>
          <w:rFonts w:ascii="Times New Roman" w:hAnsi="Times New Roman"/>
          <w:sz w:val="24"/>
          <w:szCs w:val="24"/>
        </w:rPr>
        <w:t>, вказана постачальником за результатами про ведення реверсивного аукціону, на умовах поставки, що обумовлені договором та ТД;</w:t>
      </w:r>
    </w:p>
    <w:p w:rsidR="00323348" w:rsidRPr="00430967" w:rsidRDefault="00323348" w:rsidP="00C3166C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430967">
        <w:rPr>
          <w:rStyle w:val="2FranklinGothicBook"/>
          <w:rFonts w:ascii="Times New Roman" w:hAnsi="Times New Roman"/>
          <w:iCs/>
          <w:sz w:val="24"/>
          <w:szCs w:val="24"/>
        </w:rPr>
        <w:t>Р</w:t>
      </w:r>
      <w:r w:rsidRPr="00430967">
        <w:rPr>
          <w:rStyle w:val="2FranklinGothicBook"/>
          <w:rFonts w:ascii="Times New Roman" w:hAnsi="Times New Roman"/>
          <w:iCs/>
          <w:sz w:val="24"/>
          <w:szCs w:val="24"/>
          <w:vertAlign w:val="subscript"/>
        </w:rPr>
        <w:t>1</w:t>
      </w:r>
      <w:r w:rsidRPr="00430967">
        <w:rPr>
          <w:rFonts w:ascii="Times New Roman" w:hAnsi="Times New Roman"/>
          <w:sz w:val="24"/>
          <w:szCs w:val="24"/>
        </w:rPr>
        <w:t xml:space="preserve"> - середньоарифметичне значення ціни за одиницю товару по Львівській області , на дату проведення реверсивного аукціону, підтверджене довідкою ДП «</w:t>
      </w:r>
      <w:proofErr w:type="spellStart"/>
      <w:r w:rsidRPr="00430967">
        <w:rPr>
          <w:rFonts w:ascii="Times New Roman" w:hAnsi="Times New Roman"/>
          <w:sz w:val="24"/>
          <w:szCs w:val="24"/>
        </w:rPr>
        <w:t>Держзознішінформ</w:t>
      </w:r>
      <w:proofErr w:type="spellEnd"/>
      <w:r w:rsidRPr="00430967">
        <w:rPr>
          <w:rFonts w:ascii="Times New Roman" w:hAnsi="Times New Roman"/>
          <w:sz w:val="24"/>
          <w:szCs w:val="24"/>
        </w:rPr>
        <w:t>».</w:t>
      </w:r>
    </w:p>
    <w:p w:rsidR="00323348" w:rsidRPr="00430967" w:rsidRDefault="00323348" w:rsidP="00C3166C">
      <w:pPr>
        <w:spacing w:before="230" w:after="230"/>
        <w:jc w:val="both"/>
        <w:outlineLvl w:val="0"/>
      </w:pPr>
      <w:r w:rsidRPr="00430967">
        <w:rPr>
          <w:rStyle w:val="2FranklinGothicBook"/>
          <w:rFonts w:cs="Franklin Gothic Book"/>
          <w:iCs/>
          <w:szCs w:val="13"/>
        </w:rPr>
        <w:t>Р</w:t>
      </w:r>
      <w:r w:rsidRPr="00430967">
        <w:rPr>
          <w:rStyle w:val="2FranklinGothicBook"/>
          <w:rFonts w:cs="Franklin Gothic Book"/>
          <w:iCs/>
          <w:szCs w:val="13"/>
          <w:vertAlign w:val="subscript"/>
        </w:rPr>
        <w:t>2</w:t>
      </w:r>
      <w:r w:rsidRPr="00430967">
        <w:rPr>
          <w:rStyle w:val="2FranklinGothicBook"/>
          <w:rFonts w:cs="Franklin Gothic Book"/>
          <w:iCs/>
          <w:szCs w:val="13"/>
        </w:rPr>
        <w:t xml:space="preserve"> -  </w:t>
      </w:r>
      <w:proofErr w:type="spellStart"/>
      <w:r w:rsidRPr="00430967">
        <w:t>середньоарифметичне</w:t>
      </w:r>
      <w:proofErr w:type="spellEnd"/>
      <w:r w:rsidRPr="00430967">
        <w:t xml:space="preserve"> </w:t>
      </w:r>
      <w:proofErr w:type="spellStart"/>
      <w:r w:rsidRPr="00430967">
        <w:t>значення</w:t>
      </w:r>
      <w:proofErr w:type="spellEnd"/>
      <w:r w:rsidRPr="00430967">
        <w:t xml:space="preserve"> </w:t>
      </w:r>
      <w:proofErr w:type="spellStart"/>
      <w:r w:rsidRPr="00430967">
        <w:t>ціни</w:t>
      </w:r>
      <w:proofErr w:type="spellEnd"/>
      <w:r w:rsidRPr="00430967">
        <w:t xml:space="preserve"> за </w:t>
      </w:r>
      <w:proofErr w:type="spellStart"/>
      <w:r w:rsidRPr="00430967">
        <w:t>одиницю</w:t>
      </w:r>
      <w:proofErr w:type="spellEnd"/>
      <w:r w:rsidRPr="00430967">
        <w:t xml:space="preserve"> товару по </w:t>
      </w:r>
      <w:proofErr w:type="spellStart"/>
      <w:r w:rsidRPr="00430967">
        <w:t>Львівській</w:t>
      </w:r>
      <w:proofErr w:type="spellEnd"/>
      <w:r w:rsidRPr="00430967">
        <w:t xml:space="preserve"> </w:t>
      </w:r>
      <w:proofErr w:type="spellStart"/>
      <w:r w:rsidRPr="00430967">
        <w:t>області</w:t>
      </w:r>
      <w:proofErr w:type="spellEnd"/>
      <w:r w:rsidRPr="00430967">
        <w:t xml:space="preserve"> на дату поставки товару (</w:t>
      </w:r>
      <w:proofErr w:type="spellStart"/>
      <w:r w:rsidRPr="00430967">
        <w:t>зміни</w:t>
      </w:r>
      <w:proofErr w:type="spellEnd"/>
      <w:r w:rsidRPr="00430967">
        <w:t xml:space="preserve"> </w:t>
      </w:r>
      <w:proofErr w:type="spellStart"/>
      <w:r w:rsidRPr="00430967">
        <w:t>ціни</w:t>
      </w:r>
      <w:proofErr w:type="spellEnd"/>
      <w:r w:rsidRPr="00430967">
        <w:t xml:space="preserve">), </w:t>
      </w:r>
      <w:proofErr w:type="spellStart"/>
      <w:r w:rsidRPr="00430967">
        <w:t>підтверджене</w:t>
      </w:r>
      <w:proofErr w:type="spellEnd"/>
      <w:r w:rsidRPr="00430967">
        <w:t xml:space="preserve"> </w:t>
      </w:r>
      <w:proofErr w:type="spellStart"/>
      <w:r w:rsidRPr="00430967">
        <w:t>довідкою</w:t>
      </w:r>
      <w:proofErr w:type="spellEnd"/>
      <w:r w:rsidRPr="00430967">
        <w:t xml:space="preserve"> ДП «</w:t>
      </w:r>
      <w:proofErr w:type="spellStart"/>
      <w:r w:rsidRPr="00430967">
        <w:t>Держзознішінформ</w:t>
      </w:r>
      <w:proofErr w:type="spellEnd"/>
      <w:r w:rsidRPr="00430967">
        <w:t xml:space="preserve">». </w:t>
      </w:r>
    </w:p>
    <w:p w:rsidR="00323348" w:rsidRPr="00430967" w:rsidRDefault="00323348" w:rsidP="00C3166C">
      <w:pPr>
        <w:pStyle w:val="Default"/>
        <w:tabs>
          <w:tab w:val="left" w:pos="5"/>
          <w:tab w:val="left" w:pos="1134"/>
        </w:tabs>
        <w:jc w:val="both"/>
        <w:rPr>
          <w:color w:val="auto"/>
          <w:lang w:val="uk-UA"/>
        </w:rPr>
      </w:pPr>
      <w:r w:rsidRPr="00430967">
        <w:rPr>
          <w:color w:val="auto"/>
          <w:lang w:val="uk-UA"/>
        </w:rPr>
        <w:t xml:space="preserve">Учасник погоджуються, що: </w:t>
      </w:r>
    </w:p>
    <w:p w:rsidR="00323348" w:rsidRPr="00430967" w:rsidRDefault="00323348" w:rsidP="00C3166C">
      <w:pPr>
        <w:pStyle w:val="Default"/>
        <w:numPr>
          <w:ilvl w:val="0"/>
          <w:numId w:val="2"/>
        </w:numPr>
        <w:tabs>
          <w:tab w:val="left" w:pos="5"/>
          <w:tab w:val="left" w:pos="426"/>
        </w:tabs>
        <w:suppressAutoHyphens w:val="0"/>
        <w:autoSpaceDE w:val="0"/>
        <w:adjustRightInd w:val="0"/>
        <w:ind w:left="0" w:firstLine="5"/>
        <w:jc w:val="both"/>
        <w:rPr>
          <w:color w:val="auto"/>
          <w:lang w:val="uk-UA" w:eastAsia="ar-SA"/>
        </w:rPr>
      </w:pPr>
      <w:r w:rsidRPr="00430967">
        <w:rPr>
          <w:color w:val="auto"/>
          <w:lang w:val="uk-UA"/>
        </w:rPr>
        <w:t>вищезазначена формула застосовується у разі зміни (збільшення або зменшення) ціни одиниці товару на ринку більше ніж 3%.</w:t>
      </w:r>
    </w:p>
    <w:p w:rsidR="00323348" w:rsidRPr="00430967" w:rsidRDefault="00323348" w:rsidP="00C3166C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line="100" w:lineRule="atLeast"/>
        <w:ind w:left="0" w:firstLine="5"/>
        <w:jc w:val="both"/>
        <w:rPr>
          <w:lang w:val="uk-UA"/>
        </w:rPr>
      </w:pPr>
      <w:r w:rsidRPr="00430967">
        <w:rPr>
          <w:lang w:val="uk-UA"/>
        </w:rPr>
        <w:t>у разі зміни ціни за одиницю Товару на ринку, розрахунок зміни ціни здійснюється з урахуванням показників середнього арифметичного значення відповідних цін на Товар по Львівській області, підтверджених довідкою ДП «</w:t>
      </w:r>
      <w:proofErr w:type="spellStart"/>
      <w:r w:rsidRPr="00430967">
        <w:rPr>
          <w:lang w:val="uk-UA"/>
        </w:rPr>
        <w:t>Держзовнішінформ</w:t>
      </w:r>
      <w:proofErr w:type="spellEnd"/>
      <w:r w:rsidRPr="00430967">
        <w:rPr>
          <w:lang w:val="uk-UA"/>
        </w:rPr>
        <w:t>».</w:t>
      </w:r>
    </w:p>
    <w:p w:rsidR="00323348" w:rsidRPr="00430967" w:rsidRDefault="00323348" w:rsidP="00C3166C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line="100" w:lineRule="atLeast"/>
        <w:ind w:left="0" w:firstLine="5"/>
        <w:jc w:val="both"/>
        <w:rPr>
          <w:lang w:val="uk-UA"/>
        </w:rPr>
      </w:pPr>
      <w:r w:rsidRPr="00430967">
        <w:rPr>
          <w:lang w:val="uk-UA"/>
        </w:rPr>
        <w:t>інформація в довідці ДП «</w:t>
      </w:r>
      <w:proofErr w:type="spellStart"/>
      <w:r w:rsidRPr="00430967">
        <w:rPr>
          <w:lang w:val="uk-UA"/>
        </w:rPr>
        <w:t>Держзовнішінформ</w:t>
      </w:r>
      <w:proofErr w:type="spellEnd"/>
      <w:r w:rsidRPr="00430967">
        <w:rPr>
          <w:lang w:val="uk-UA"/>
        </w:rPr>
        <w:t xml:space="preserve">»  має враховувати умови поставки та оплати Товару за Договором. При цьому ціна одиниці Товару може змінюватися не більше ніж </w:t>
      </w:r>
      <w:r w:rsidR="00FD5713">
        <w:rPr>
          <w:lang w:val="uk-UA"/>
        </w:rPr>
        <w:t>до</w:t>
      </w:r>
      <w:r w:rsidRPr="00430967">
        <w:rPr>
          <w:lang w:val="uk-UA"/>
        </w:rPr>
        <w:t xml:space="preserve"> 10%.</w:t>
      </w:r>
    </w:p>
    <w:p w:rsidR="00323348" w:rsidRDefault="00323348" w:rsidP="00C3166C">
      <w:pPr>
        <w:rPr>
          <w:b/>
          <w:bCs/>
        </w:rPr>
      </w:pPr>
    </w:p>
    <w:p w:rsidR="00323348" w:rsidRDefault="00323348" w:rsidP="00C3166C">
      <w:pPr>
        <w:spacing w:line="240" w:lineRule="atLeast"/>
        <w:jc w:val="both"/>
        <w:rPr>
          <w:lang w:eastAsia="uk-UA"/>
        </w:rPr>
      </w:pPr>
    </w:p>
    <w:sectPr w:rsidR="00323348" w:rsidSect="005360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B5"/>
    <w:multiLevelType w:val="hybridMultilevel"/>
    <w:tmpl w:val="3D565C8E"/>
    <w:lvl w:ilvl="0" w:tplc="111CCA30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4051935"/>
    <w:multiLevelType w:val="hybridMultilevel"/>
    <w:tmpl w:val="733C228C"/>
    <w:lvl w:ilvl="0" w:tplc="ECA2BA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C"/>
    <w:rsid w:val="00015001"/>
    <w:rsid w:val="000431E8"/>
    <w:rsid w:val="000A3D6B"/>
    <w:rsid w:val="000B2700"/>
    <w:rsid w:val="001C5548"/>
    <w:rsid w:val="00225330"/>
    <w:rsid w:val="00225DBD"/>
    <w:rsid w:val="002C638F"/>
    <w:rsid w:val="00323348"/>
    <w:rsid w:val="00403EE5"/>
    <w:rsid w:val="00430967"/>
    <w:rsid w:val="00444897"/>
    <w:rsid w:val="004539B3"/>
    <w:rsid w:val="004B7114"/>
    <w:rsid w:val="00536049"/>
    <w:rsid w:val="00562D39"/>
    <w:rsid w:val="005E3F26"/>
    <w:rsid w:val="0086237C"/>
    <w:rsid w:val="0088209A"/>
    <w:rsid w:val="009B5397"/>
    <w:rsid w:val="009E263A"/>
    <w:rsid w:val="00B369A6"/>
    <w:rsid w:val="00B57FB9"/>
    <w:rsid w:val="00C3166C"/>
    <w:rsid w:val="00C62767"/>
    <w:rsid w:val="00C74FD3"/>
    <w:rsid w:val="00CE75B1"/>
    <w:rsid w:val="00D0193F"/>
    <w:rsid w:val="00D17A4D"/>
    <w:rsid w:val="00D61C9E"/>
    <w:rsid w:val="00D667D8"/>
    <w:rsid w:val="00DE7044"/>
    <w:rsid w:val="00DF5045"/>
    <w:rsid w:val="00EB360B"/>
    <w:rsid w:val="00F6403A"/>
    <w:rsid w:val="00F909B7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405AC"/>
  <w15:docId w15:val="{8F84DD9D-FD5F-4E48-9663-FAC7863E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C3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66C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3">
    <w:name w:val="Без интервала Знак"/>
    <w:link w:val="a4"/>
    <w:uiPriority w:val="99"/>
    <w:rsid w:val="00C3166C"/>
    <w:rPr>
      <w:rFonts w:ascii="Times New Roman" w:eastAsia="SimSun" w:hAnsi="Times New Roman"/>
      <w:sz w:val="22"/>
      <w:lang w:val="ru-RU" w:eastAsia="en-US"/>
    </w:rPr>
  </w:style>
  <w:style w:type="paragraph" w:styleId="a4">
    <w:name w:val="No Spacing"/>
    <w:link w:val="a3"/>
    <w:uiPriority w:val="99"/>
    <w:qFormat/>
    <w:rsid w:val="00C3166C"/>
    <w:rPr>
      <w:rFonts w:ascii="Times New Roman" w:eastAsia="SimSun" w:hAnsi="Times New Roman"/>
      <w:lang w:val="ru-RU" w:eastAsia="en-US"/>
    </w:rPr>
  </w:style>
  <w:style w:type="paragraph" w:styleId="a5">
    <w:name w:val="List Paragraph"/>
    <w:basedOn w:val="a"/>
    <w:uiPriority w:val="99"/>
    <w:qFormat/>
    <w:rsid w:val="00C3166C"/>
    <w:pPr>
      <w:ind w:left="720"/>
    </w:pPr>
  </w:style>
  <w:style w:type="paragraph" w:customStyle="1" w:styleId="1">
    <w:name w:val="Абзац списка1"/>
    <w:basedOn w:val="a"/>
    <w:uiPriority w:val="99"/>
    <w:rsid w:val="00C3166C"/>
    <w:pPr>
      <w:ind w:left="708"/>
    </w:pPr>
    <w:rPr>
      <w:rFonts w:eastAsia="SimSun"/>
      <w:lang w:eastAsia="en-US"/>
    </w:rPr>
  </w:style>
  <w:style w:type="paragraph" w:customStyle="1" w:styleId="rvps2">
    <w:name w:val="rvps2"/>
    <w:basedOn w:val="a"/>
    <w:uiPriority w:val="99"/>
    <w:rsid w:val="00C3166C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uiPriority w:val="99"/>
    <w:rsid w:val="00C3166C"/>
    <w:pPr>
      <w:suppressAutoHyphens/>
    </w:pPr>
    <w:rPr>
      <w:rFonts w:ascii="Times New Roman" w:eastAsia="Times New Roman" w:hAnsi="Times New Roman"/>
      <w:color w:val="000000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uiPriority w:val="99"/>
    <w:rsid w:val="00C3166C"/>
    <w:rPr>
      <w:rFonts w:ascii="Segoe UI" w:hAnsi="Segoe UI"/>
      <w:sz w:val="1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166C"/>
    <w:pPr>
      <w:widowControl w:val="0"/>
      <w:shd w:val="clear" w:color="auto" w:fill="FFFFFF"/>
      <w:spacing w:line="182" w:lineRule="exact"/>
      <w:jc w:val="both"/>
    </w:pPr>
    <w:rPr>
      <w:rFonts w:ascii="Segoe UI" w:eastAsia="Calibri" w:hAnsi="Segoe UI"/>
      <w:sz w:val="12"/>
      <w:szCs w:val="12"/>
      <w:lang w:val="uk-UA" w:eastAsia="zh-CN"/>
    </w:rPr>
  </w:style>
  <w:style w:type="character" w:customStyle="1" w:styleId="10">
    <w:name w:val="Заголовок №1_"/>
    <w:link w:val="11"/>
    <w:uiPriority w:val="99"/>
    <w:rsid w:val="00C3166C"/>
    <w:rPr>
      <w:rFonts w:ascii="Franklin Gothic Book" w:hAnsi="Franklin Gothic Book"/>
      <w:sz w:val="1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3166C"/>
    <w:pPr>
      <w:widowControl w:val="0"/>
      <w:shd w:val="clear" w:color="auto" w:fill="FFFFFF"/>
      <w:spacing w:line="240" w:lineRule="atLeast"/>
      <w:jc w:val="both"/>
      <w:outlineLvl w:val="0"/>
    </w:pPr>
    <w:rPr>
      <w:rFonts w:ascii="Franklin Gothic Book" w:eastAsia="Calibri" w:hAnsi="Franklin Gothic Book"/>
      <w:sz w:val="18"/>
      <w:szCs w:val="18"/>
      <w:lang w:val="uk-UA" w:eastAsia="zh-CN"/>
    </w:rPr>
  </w:style>
  <w:style w:type="paragraph" w:customStyle="1" w:styleId="Standard">
    <w:name w:val="Standard"/>
    <w:uiPriority w:val="99"/>
    <w:rsid w:val="00C3166C"/>
    <w:pPr>
      <w:suppressAutoHyphens/>
      <w:overflowPunct w:val="0"/>
      <w:autoSpaceDN w:val="0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C3166C"/>
  </w:style>
  <w:style w:type="character" w:customStyle="1" w:styleId="1TrebuchetMS">
    <w:name w:val="Заголовок №1 + Trebuchet MS"/>
    <w:aliases w:val="6,5 pt,Курсив"/>
    <w:uiPriority w:val="99"/>
    <w:rsid w:val="00C3166C"/>
    <w:rPr>
      <w:rFonts w:ascii="Trebuchet MS" w:hAnsi="Trebuchet MS"/>
      <w:i/>
      <w:color w:val="000000"/>
      <w:spacing w:val="0"/>
      <w:w w:val="100"/>
      <w:position w:val="0"/>
      <w:sz w:val="13"/>
      <w:shd w:val="clear" w:color="auto" w:fill="FFFFFF"/>
      <w:lang w:val="uk-UA" w:eastAsia="uk-UA"/>
    </w:rPr>
  </w:style>
  <w:style w:type="character" w:customStyle="1" w:styleId="2FranklinGothicBook">
    <w:name w:val="Основной текст (2) + Franklin Gothic Book"/>
    <w:aliases w:val="61,5 pt1,Курсив1,Интервал 0 pt"/>
    <w:uiPriority w:val="99"/>
    <w:rsid w:val="00C3166C"/>
    <w:rPr>
      <w:rFonts w:ascii="Franklin Gothic Book" w:hAnsi="Franklin Gothic Book"/>
      <w:i/>
      <w:color w:val="000000"/>
      <w:spacing w:val="10"/>
      <w:w w:val="100"/>
      <w:position w:val="0"/>
      <w:sz w:val="13"/>
      <w:shd w:val="clear" w:color="auto" w:fill="FFFFFF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B71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431E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2</cp:revision>
  <cp:lastPrinted>2022-08-16T11:20:00Z</cp:lastPrinted>
  <dcterms:created xsi:type="dcterms:W3CDTF">2022-08-16T11:21:00Z</dcterms:created>
  <dcterms:modified xsi:type="dcterms:W3CDTF">2022-08-16T11:21:00Z</dcterms:modified>
</cp:coreProperties>
</file>