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AB06AB">
        <w:rPr>
          <w:rFonts w:ascii="Times New Roman" w:eastAsia="SimSun" w:hAnsi="Times New Roman"/>
          <w:kern w:val="1"/>
          <w:lang w:eastAsia="hi-IN" w:bidi="hi-IN"/>
        </w:rPr>
        <w:t>61  від 30</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897B2B" w:rsidRPr="00DD181C" w:rsidRDefault="00897B2B" w:rsidP="00897B2B">
      <w:pPr>
        <w:widowControl w:val="0"/>
        <w:autoSpaceDE w:val="0"/>
        <w:autoSpaceDN w:val="0"/>
        <w:spacing w:after="0" w:line="240" w:lineRule="auto"/>
        <w:jc w:val="center"/>
        <w:rPr>
          <w:rFonts w:ascii="Times New Roman" w:eastAsia="Times New Roman" w:hAnsi="Times New Roman"/>
          <w:b/>
          <w:i/>
          <w:sz w:val="36"/>
          <w:szCs w:val="24"/>
          <w:lang w:eastAsia="ru-RU"/>
        </w:rPr>
      </w:pPr>
      <w:r w:rsidRPr="00DD181C">
        <w:rPr>
          <w:rFonts w:ascii="Times New Roman" w:eastAsia="Times New Roman" w:hAnsi="Times New Roman"/>
          <w:b/>
          <w:i/>
          <w:sz w:val="36"/>
          <w:szCs w:val="24"/>
          <w:lang w:eastAsia="ru-RU"/>
        </w:rPr>
        <w:t>Молочні</w:t>
      </w:r>
      <w:r>
        <w:rPr>
          <w:rFonts w:ascii="Times New Roman" w:eastAsia="Times New Roman" w:hAnsi="Times New Roman"/>
          <w:b/>
          <w:i/>
          <w:sz w:val="36"/>
          <w:szCs w:val="24"/>
          <w:lang w:eastAsia="ru-RU"/>
        </w:rPr>
        <w:t xml:space="preserve"> </w:t>
      </w:r>
      <w:r w:rsidRPr="00DD181C">
        <w:rPr>
          <w:rFonts w:ascii="Times New Roman" w:eastAsia="Times New Roman" w:hAnsi="Times New Roman"/>
          <w:b/>
          <w:i/>
          <w:sz w:val="36"/>
          <w:szCs w:val="24"/>
          <w:lang w:eastAsia="ru-RU"/>
        </w:rPr>
        <w:t>продукти</w:t>
      </w:r>
      <w:r>
        <w:rPr>
          <w:rFonts w:ascii="Times New Roman" w:eastAsia="Times New Roman" w:hAnsi="Times New Roman"/>
          <w:b/>
          <w:i/>
          <w:sz w:val="36"/>
          <w:szCs w:val="24"/>
          <w:lang w:eastAsia="ru-RU"/>
        </w:rPr>
        <w:t xml:space="preserve"> </w:t>
      </w:r>
      <w:r w:rsidRPr="00DD181C">
        <w:rPr>
          <w:rFonts w:ascii="Times New Roman" w:eastAsia="Times New Roman" w:hAnsi="Times New Roman"/>
          <w:b/>
          <w:i/>
          <w:sz w:val="36"/>
          <w:szCs w:val="24"/>
          <w:lang w:eastAsia="ru-RU"/>
        </w:rPr>
        <w:t xml:space="preserve">різні (сметана жирністю не </w:t>
      </w:r>
      <w:r w:rsidR="00B505C2">
        <w:rPr>
          <w:rFonts w:ascii="Times New Roman" w:eastAsia="Times New Roman" w:hAnsi="Times New Roman"/>
          <w:b/>
          <w:i/>
          <w:sz w:val="36"/>
          <w:szCs w:val="24"/>
          <w:lang w:eastAsia="ru-RU"/>
        </w:rPr>
        <w:t>нижче</w:t>
      </w:r>
      <w:r w:rsidRPr="00DD181C">
        <w:rPr>
          <w:rFonts w:ascii="Times New Roman" w:eastAsia="Times New Roman" w:hAnsi="Times New Roman"/>
          <w:b/>
          <w:i/>
          <w:sz w:val="36"/>
          <w:szCs w:val="24"/>
          <w:lang w:eastAsia="ru-RU"/>
        </w:rPr>
        <w:t xml:space="preserve"> 20%,</w:t>
      </w:r>
      <w:r>
        <w:rPr>
          <w:rFonts w:ascii="Times New Roman" w:eastAsia="Times New Roman" w:hAnsi="Times New Roman"/>
          <w:b/>
          <w:i/>
          <w:sz w:val="36"/>
          <w:szCs w:val="24"/>
          <w:lang w:eastAsia="ru-RU"/>
        </w:rPr>
        <w:t xml:space="preserve"> </w:t>
      </w:r>
      <w:r w:rsidRPr="00DD181C">
        <w:rPr>
          <w:rFonts w:ascii="Times New Roman" w:eastAsia="Times New Roman" w:hAnsi="Times New Roman"/>
          <w:b/>
          <w:i/>
          <w:sz w:val="36"/>
          <w:szCs w:val="24"/>
          <w:lang w:eastAsia="ru-RU"/>
        </w:rPr>
        <w:t xml:space="preserve">кефір жирністю не </w:t>
      </w:r>
      <w:r w:rsidR="00B505C2">
        <w:rPr>
          <w:rFonts w:ascii="Times New Roman" w:eastAsia="Times New Roman" w:hAnsi="Times New Roman"/>
          <w:b/>
          <w:i/>
          <w:sz w:val="36"/>
          <w:szCs w:val="24"/>
          <w:lang w:eastAsia="ru-RU"/>
        </w:rPr>
        <w:t>нижче 2,5%, йогурт жирністю не нижче</w:t>
      </w:r>
      <w:r w:rsidRPr="00DD181C">
        <w:rPr>
          <w:rFonts w:ascii="Times New Roman" w:eastAsia="Times New Roman" w:hAnsi="Times New Roman"/>
          <w:b/>
          <w:i/>
          <w:sz w:val="36"/>
          <w:szCs w:val="24"/>
          <w:lang w:eastAsia="ru-RU"/>
        </w:rPr>
        <w:t xml:space="preserve"> 2,5%)</w:t>
      </w:r>
    </w:p>
    <w:p w:rsidR="00897B2B" w:rsidRPr="00C04F27" w:rsidRDefault="00897B2B" w:rsidP="00897B2B">
      <w:pPr>
        <w:widowControl w:val="0"/>
        <w:suppressAutoHyphens/>
        <w:spacing w:after="0" w:line="240" w:lineRule="auto"/>
        <w:rPr>
          <w:rFonts w:ascii="Times New Roman" w:eastAsia="SimSun" w:hAnsi="Times New Roman"/>
          <w:b/>
          <w:i/>
          <w:sz w:val="36"/>
          <w:lang w:eastAsia="ar-SA"/>
        </w:rPr>
      </w:pPr>
    </w:p>
    <w:p w:rsidR="006E0543" w:rsidRPr="00596441" w:rsidRDefault="00897B2B" w:rsidP="00897B2B">
      <w:pPr>
        <w:widowControl w:val="0"/>
        <w:suppressAutoHyphens/>
        <w:spacing w:after="0" w:line="240" w:lineRule="auto"/>
        <w:jc w:val="center"/>
        <w:rPr>
          <w:rFonts w:ascii="Times New Roman" w:eastAsia="SimSun" w:hAnsi="Times New Roman"/>
          <w:b/>
          <w:i/>
          <w:kern w:val="2"/>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7F28EC">
        <w:rPr>
          <w:rFonts w:ascii="Times New Roman" w:eastAsia="SimSun" w:hAnsi="Times New Roman"/>
          <w:b/>
          <w:i/>
          <w:sz w:val="32"/>
          <w:szCs w:val="32"/>
          <w:lang w:eastAsia="ar-SA"/>
        </w:rPr>
        <w:t>15550000-8</w:t>
      </w:r>
      <w:r w:rsidRPr="006D4F95">
        <w:rPr>
          <w:rFonts w:ascii="Times New Roman" w:eastAsia="SimSun" w:hAnsi="Times New Roman"/>
          <w:b/>
          <w:i/>
          <w:sz w:val="32"/>
          <w:szCs w:val="32"/>
          <w:lang w:eastAsia="ar-SA"/>
        </w:rPr>
        <w:t xml:space="preserve">- </w:t>
      </w:r>
      <w:r w:rsidRPr="007F28EC">
        <w:rPr>
          <w:rFonts w:ascii="Times New Roman" w:eastAsia="SimSun" w:hAnsi="Times New Roman"/>
          <w:b/>
          <w:i/>
          <w:kern w:val="1"/>
          <w:sz w:val="32"/>
          <w:szCs w:val="32"/>
          <w:lang w:eastAsia="ar-SA" w:bidi="hi-IN"/>
        </w:rPr>
        <w:t>Молочні продукти різні</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7B2B" w:rsidRDefault="00897B2B" w:rsidP="00897B2B">
            <w:pPr>
              <w:widowControl w:val="0"/>
              <w:autoSpaceDE w:val="0"/>
              <w:autoSpaceDN w:val="0"/>
              <w:spacing w:after="0" w:line="240" w:lineRule="auto"/>
              <w:rPr>
                <w:rFonts w:ascii="Times New Roman" w:eastAsia="Times New Roman" w:hAnsi="Times New Roman"/>
                <w:b/>
                <w:i/>
                <w:lang w:eastAsia="ru-RU"/>
              </w:rPr>
            </w:pPr>
            <w:r>
              <w:rPr>
                <w:rFonts w:ascii="Times New Roman" w:eastAsia="Times New Roman" w:hAnsi="Times New Roman"/>
                <w:b/>
                <w:i/>
                <w:lang w:eastAsia="ru-RU"/>
              </w:rPr>
              <w:t xml:space="preserve">Молочні продукти різні (сметана жирністю не нижче 20%, </w:t>
            </w:r>
            <w:r w:rsidR="00B505C2">
              <w:rPr>
                <w:rFonts w:ascii="Times New Roman" w:eastAsia="Times New Roman" w:hAnsi="Times New Roman"/>
                <w:b/>
                <w:i/>
                <w:lang w:eastAsia="ru-RU"/>
              </w:rPr>
              <w:t>кефір</w:t>
            </w:r>
            <w:r>
              <w:rPr>
                <w:rFonts w:ascii="Times New Roman" w:eastAsia="Times New Roman" w:hAnsi="Times New Roman"/>
                <w:b/>
                <w:i/>
                <w:lang w:eastAsia="ru-RU"/>
              </w:rPr>
              <w:t xml:space="preserve"> жирністю не нижче 2,5%, </w:t>
            </w:r>
            <w:r w:rsidR="00B505C2">
              <w:rPr>
                <w:rFonts w:ascii="Times New Roman" w:eastAsia="Times New Roman" w:hAnsi="Times New Roman"/>
                <w:b/>
                <w:i/>
                <w:lang w:eastAsia="ru-RU"/>
              </w:rPr>
              <w:t xml:space="preserve">йогурт </w:t>
            </w:r>
            <w:r>
              <w:rPr>
                <w:rFonts w:ascii="Times New Roman" w:eastAsia="Times New Roman" w:hAnsi="Times New Roman"/>
                <w:b/>
                <w:i/>
                <w:lang w:eastAsia="ru-RU"/>
              </w:rPr>
              <w:t xml:space="preserve"> жирністю не нижче 2,5%)</w:t>
            </w:r>
          </w:p>
          <w:p w:rsidR="00E50272" w:rsidRPr="00E50272" w:rsidRDefault="00897B2B" w:rsidP="00897B2B">
            <w:pPr>
              <w:widowControl w:val="0"/>
              <w:autoSpaceDE w:val="0"/>
              <w:autoSpaceDN w:val="0"/>
              <w:spacing w:after="0" w:line="240" w:lineRule="auto"/>
              <w:rPr>
                <w:rFonts w:ascii="Times New Roman" w:eastAsia="SimSun" w:hAnsi="Times New Roman"/>
                <w:b/>
                <w:bCs/>
                <w:i/>
                <w:sz w:val="24"/>
                <w:szCs w:val="24"/>
                <w:lang w:eastAsia="ar-SA"/>
              </w:rPr>
            </w:pPr>
            <w:r w:rsidRPr="00072C48">
              <w:rPr>
                <w:rFonts w:ascii="Times New Roman" w:eastAsia="SimSun" w:hAnsi="Times New Roman"/>
                <w:b/>
                <w:i/>
                <w:sz w:val="24"/>
                <w:szCs w:val="24"/>
                <w:lang w:eastAsia="ar-SA"/>
              </w:rPr>
              <w:t xml:space="preserve">ДК 021:2015: </w:t>
            </w:r>
            <w:r>
              <w:rPr>
                <w:rFonts w:ascii="Times New Roman" w:eastAsia="SimSun" w:hAnsi="Times New Roman"/>
                <w:b/>
                <w:i/>
                <w:sz w:val="24"/>
                <w:szCs w:val="24"/>
                <w:lang w:eastAsia="ar-SA"/>
              </w:rPr>
              <w:t>1555</w:t>
            </w:r>
            <w:r w:rsidRPr="002144AB">
              <w:rPr>
                <w:rFonts w:ascii="Times New Roman" w:eastAsia="SimSun" w:hAnsi="Times New Roman"/>
                <w:b/>
                <w:i/>
                <w:sz w:val="24"/>
                <w:szCs w:val="24"/>
                <w:lang w:eastAsia="ar-SA"/>
              </w:rPr>
              <w:t>0000-</w:t>
            </w:r>
            <w:r>
              <w:rPr>
                <w:rFonts w:ascii="Times New Roman" w:eastAsia="SimSun" w:hAnsi="Times New Roman"/>
                <w:b/>
                <w:i/>
                <w:sz w:val="24"/>
                <w:szCs w:val="24"/>
                <w:lang w:eastAsia="ar-SA"/>
              </w:rPr>
              <w:t>8</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w:t>
            </w:r>
            <w:r w:rsidRPr="00E50272">
              <w:rPr>
                <w:rFonts w:ascii="Times New Roman" w:eastAsia="Times New Roman" w:hAnsi="Times New Roman"/>
                <w:b/>
                <w:color w:val="000000"/>
                <w:sz w:val="24"/>
                <w:szCs w:val="24"/>
                <w:highlight w:val="lightGray"/>
              </w:rPr>
              <w:lastRenderedPageBreak/>
              <w:t xml:space="preserve">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E50272">
              <w:rPr>
                <w:rFonts w:ascii="Times New Roman" w:eastAsia="Times New Roman" w:hAnsi="Times New Roman"/>
                <w:b/>
                <w:lang w:eastAsia="ru-RU"/>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w:t>
            </w:r>
            <w:r w:rsidRPr="00E50272">
              <w:rPr>
                <w:rFonts w:ascii="Times New Roman" w:eastAsia="Times New Roman" w:hAnsi="Times New Roman"/>
                <w:b/>
                <w:bCs/>
                <w:color w:val="000000"/>
                <w:lang w:eastAsia="ru-RU"/>
              </w:rPr>
              <w:lastRenderedPageBreak/>
              <w:t>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AB06AB">
              <w:rPr>
                <w:rFonts w:ascii="Times New Roman" w:eastAsia="Times New Roman" w:hAnsi="Times New Roman"/>
                <w:b/>
                <w:color w:val="000000"/>
                <w:highlight w:val="cyan"/>
                <w:lang w:eastAsia="ru-RU"/>
              </w:rPr>
              <w:t>04.04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AB06AB">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AB06AB">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AB06A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AB06A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AB06A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AB06AB">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 xml:space="preserve">у формі аудиту постійно діючих процедур, заснованих на принципах НАССР на </w:t>
            </w:r>
            <w:r>
              <w:rPr>
                <w:rFonts w:ascii="Times New Roman" w:eastAsia="Times New Roman" w:hAnsi="Times New Roman"/>
                <w:sz w:val="24"/>
                <w:szCs w:val="24"/>
                <w:lang w:eastAsia="ru-RU"/>
              </w:rPr>
              <w:lastRenderedPageBreak/>
              <w:t>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автотранспортного(них) засобу(ів), якими буде здійснюватися </w:t>
            </w:r>
            <w:r w:rsidRPr="00115FDA">
              <w:rPr>
                <w:rFonts w:ascii="Times New Roman" w:eastAsia="Times New Roman" w:hAnsi="Times New Roman"/>
                <w:sz w:val="24"/>
                <w:szCs w:val="24"/>
                <w:lang w:eastAsia="ru-RU"/>
              </w:rPr>
              <w:lastRenderedPageBreak/>
              <w:t>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lastRenderedPageBreak/>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990C53">
        <w:trPr>
          <w:trHeight w:val="490"/>
        </w:trPr>
        <w:tc>
          <w:tcPr>
            <w:tcW w:w="5000" w:type="pct"/>
            <w:shd w:val="clear" w:color="auto" w:fill="auto"/>
          </w:tcPr>
          <w:p w:rsidR="008B559A" w:rsidRPr="00AB06AB" w:rsidRDefault="008B559A" w:rsidP="00447487">
            <w:pPr>
              <w:numPr>
                <w:ilvl w:val="0"/>
                <w:numId w:val="9"/>
              </w:numPr>
              <w:suppressAutoHyphens/>
              <w:spacing w:after="0" w:line="240" w:lineRule="auto"/>
              <w:ind w:left="0" w:firstLine="0"/>
              <w:jc w:val="both"/>
              <w:rPr>
                <w:rFonts w:ascii="Times New Roman" w:eastAsia="SimSun" w:hAnsi="Times New Roman"/>
                <w:strike/>
                <w:sz w:val="24"/>
                <w:szCs w:val="24"/>
                <w:lang w:eastAsia="ar-SA"/>
              </w:rPr>
            </w:pPr>
            <w:r w:rsidRPr="00AB06AB">
              <w:rPr>
                <w:rFonts w:ascii="Times New Roman" w:eastAsia="SimSun" w:hAnsi="Times New Roman"/>
                <w:strike/>
                <w:sz w:val="24"/>
                <w:szCs w:val="24"/>
                <w:highlight w:val="red"/>
                <w:lang w:eastAsia="ar-SA"/>
              </w:rPr>
              <w:t xml:space="preserve">Затверджений замовником графік постачання продуктів харчування згідно </w:t>
            </w:r>
            <w:r w:rsidR="00C456EF" w:rsidRPr="00AB06AB">
              <w:rPr>
                <w:rFonts w:ascii="Times New Roman" w:eastAsia="SimSun" w:hAnsi="Times New Roman"/>
                <w:b/>
                <w:strike/>
                <w:sz w:val="24"/>
                <w:szCs w:val="24"/>
                <w:highlight w:val="red"/>
                <w:lang w:eastAsia="ar-SA"/>
              </w:rPr>
              <w:t>Д</w:t>
            </w:r>
            <w:r w:rsidRPr="00AB06AB">
              <w:rPr>
                <w:rFonts w:ascii="Times New Roman" w:eastAsia="SimSun" w:hAnsi="Times New Roman"/>
                <w:b/>
                <w:strike/>
                <w:sz w:val="24"/>
                <w:szCs w:val="24"/>
                <w:highlight w:val="red"/>
                <w:lang w:eastAsia="ar-SA"/>
              </w:rPr>
              <w:t>одатку 7</w:t>
            </w:r>
            <w:r w:rsidR="00C456EF" w:rsidRPr="00AB06AB">
              <w:rPr>
                <w:rFonts w:ascii="Times New Roman" w:eastAsia="SimSun" w:hAnsi="Times New Roman"/>
                <w:b/>
                <w:strike/>
                <w:sz w:val="24"/>
                <w:szCs w:val="24"/>
                <w:highlight w:val="red"/>
                <w:lang w:eastAsia="ar-SA"/>
              </w:rPr>
              <w:t xml:space="preserve"> </w:t>
            </w:r>
            <w:r w:rsidR="00C456EF" w:rsidRPr="00AB06AB">
              <w:rPr>
                <w:rFonts w:ascii="Times New Roman" w:eastAsia="SimSun" w:hAnsi="Times New Roman"/>
                <w:strike/>
                <w:sz w:val="24"/>
                <w:szCs w:val="24"/>
                <w:highlight w:val="red"/>
                <w:lang w:eastAsia="ar-SA"/>
              </w:rPr>
              <w:t>до тендерної документації.</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897B2B" w:rsidRPr="00736528" w:rsidRDefault="00897B2B" w:rsidP="00897B2B">
      <w:pPr>
        <w:pStyle w:val="af5"/>
        <w:spacing w:before="0" w:beforeAutospacing="0" w:after="0" w:afterAutospacing="0"/>
        <w:ind w:firstLine="709"/>
        <w:jc w:val="center"/>
        <w:rPr>
          <w:rFonts w:eastAsia="SimSun"/>
          <w:b/>
          <w:i/>
          <w:lang w:val="uk-UA" w:eastAsia="ar-SA"/>
        </w:rPr>
      </w:pPr>
      <w:r w:rsidRPr="00115FDA">
        <w:rPr>
          <w:b/>
          <w:lang w:val="uk-UA"/>
        </w:rPr>
        <w:t xml:space="preserve">Технічні вимоги до предмета закупівлі: </w:t>
      </w:r>
      <w:r>
        <w:rPr>
          <w:rFonts w:eastAsia="SimSun"/>
          <w:b/>
          <w:i/>
          <w:lang w:val="uk-UA" w:eastAsia="ar-SA"/>
        </w:rPr>
        <w:t>Молочні продукти різні</w:t>
      </w:r>
      <w:r w:rsidR="00B505C2">
        <w:rPr>
          <w:rFonts w:eastAsia="SimSun"/>
          <w:b/>
          <w:i/>
          <w:lang w:val="uk-UA" w:eastAsia="ar-SA"/>
        </w:rPr>
        <w:t xml:space="preserve"> </w:t>
      </w:r>
      <w:r w:rsidR="00B505C2">
        <w:rPr>
          <w:b/>
          <w:i/>
          <w:lang w:val="uk-UA"/>
        </w:rPr>
        <w:t xml:space="preserve">(сметана жирністю не нижче 20%, </w:t>
      </w:r>
      <w:r w:rsidR="00B505C2" w:rsidRPr="00AB06AB">
        <w:rPr>
          <w:b/>
          <w:i/>
          <w:lang w:val="uk-UA"/>
        </w:rPr>
        <w:t>кефір</w:t>
      </w:r>
      <w:r w:rsidR="00B505C2">
        <w:rPr>
          <w:b/>
          <w:i/>
          <w:lang w:val="uk-UA"/>
        </w:rPr>
        <w:t xml:space="preserve"> жирністю не нижче 2,5%, </w:t>
      </w:r>
      <w:r w:rsidR="00B505C2" w:rsidRPr="00AB06AB">
        <w:rPr>
          <w:b/>
          <w:i/>
          <w:lang w:val="uk-UA"/>
        </w:rPr>
        <w:t xml:space="preserve">йогурт </w:t>
      </w:r>
      <w:r w:rsidR="00B505C2">
        <w:rPr>
          <w:b/>
          <w:i/>
          <w:lang w:val="uk-UA"/>
        </w:rPr>
        <w:t xml:space="preserve"> жирністю не нижче 2,5%)</w:t>
      </w:r>
      <w:r>
        <w:rPr>
          <w:rFonts w:eastAsia="SimSun"/>
          <w:b/>
          <w:i/>
          <w:kern w:val="3"/>
          <w:lang w:val="uk-UA"/>
        </w:rPr>
        <w:t xml:space="preserve">                                                                                                                                  </w:t>
      </w:r>
      <w:r w:rsidRPr="00C67DFA">
        <w:rPr>
          <w:rFonts w:eastAsia="SimSun"/>
          <w:b/>
          <w:i/>
          <w:kern w:val="3"/>
          <w:lang w:val="uk-UA"/>
        </w:rPr>
        <w:t xml:space="preserve">ДК 021:2015: </w:t>
      </w:r>
      <w:r w:rsidRPr="00AB06AB">
        <w:rPr>
          <w:rFonts w:eastAsia="SimSun"/>
          <w:b/>
          <w:i/>
          <w:lang w:val="uk-UA" w:eastAsia="ar-SA"/>
        </w:rPr>
        <w:t>155</w:t>
      </w:r>
      <w:r>
        <w:rPr>
          <w:rFonts w:eastAsia="SimSun"/>
          <w:b/>
          <w:i/>
          <w:lang w:val="uk-UA" w:eastAsia="ar-SA"/>
        </w:rPr>
        <w:t>5</w:t>
      </w:r>
      <w:r w:rsidRPr="00AB06AB">
        <w:rPr>
          <w:rFonts w:eastAsia="SimSun"/>
          <w:b/>
          <w:i/>
          <w:lang w:val="uk-UA" w:eastAsia="ar-SA"/>
        </w:rPr>
        <w:t>0000-</w:t>
      </w:r>
      <w:r>
        <w:rPr>
          <w:rFonts w:eastAsia="SimSun"/>
          <w:b/>
          <w:i/>
          <w:lang w:val="uk-UA" w:eastAsia="ar-SA"/>
        </w:rPr>
        <w:t>8</w:t>
      </w: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897B2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97B2B" w:rsidRPr="00CA0156" w:rsidRDefault="00897B2B" w:rsidP="0087402B">
            <w:pPr>
              <w:suppressAutoHyphens/>
              <w:spacing w:after="0" w:line="240" w:lineRule="auto"/>
              <w:rPr>
                <w:rFonts w:ascii="Times New Roman" w:hAnsi="Times New Roman"/>
                <w:b/>
              </w:rPr>
            </w:pPr>
            <w:r>
              <w:rPr>
                <w:rFonts w:ascii="Times New Roman" w:hAnsi="Times New Roman"/>
                <w:bCs/>
              </w:rPr>
              <w:t>Сметана фасована, жирність не нижче 20%</w:t>
            </w:r>
          </w:p>
        </w:tc>
        <w:tc>
          <w:tcPr>
            <w:tcW w:w="518" w:type="pct"/>
            <w:tcBorders>
              <w:top w:val="single" w:sz="4" w:space="0" w:color="000000"/>
              <w:left w:val="single" w:sz="4" w:space="0" w:color="000000"/>
              <w:bottom w:val="single" w:sz="4" w:space="0" w:color="000000"/>
              <w:right w:val="nil"/>
            </w:tcBorders>
            <w:vAlign w:val="center"/>
            <w:hideMark/>
          </w:tcPr>
          <w:p w:rsidR="00897B2B"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p w:rsidR="00897B2B" w:rsidRPr="00EB2898"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p>
        </w:tc>
        <w:tc>
          <w:tcPr>
            <w:tcW w:w="592" w:type="pct"/>
            <w:tcBorders>
              <w:top w:val="single" w:sz="4" w:space="0" w:color="000000"/>
              <w:left w:val="single" w:sz="4" w:space="0" w:color="000000"/>
              <w:bottom w:val="single" w:sz="4" w:space="0" w:color="000000"/>
              <w:right w:val="nil"/>
            </w:tcBorders>
            <w:vAlign w:val="center"/>
          </w:tcPr>
          <w:p w:rsidR="00897B2B" w:rsidRPr="00EB2898" w:rsidRDefault="005F3C4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632</w:t>
            </w:r>
          </w:p>
        </w:tc>
        <w:tc>
          <w:tcPr>
            <w:tcW w:w="3093" w:type="pct"/>
            <w:tcBorders>
              <w:top w:val="single" w:sz="4" w:space="0" w:color="000000"/>
              <w:left w:val="single" w:sz="4" w:space="0" w:color="000000"/>
              <w:bottom w:val="single" w:sz="4" w:space="0" w:color="000000"/>
              <w:right w:val="single" w:sz="4" w:space="0" w:color="000000"/>
            </w:tcBorders>
            <w:vAlign w:val="center"/>
          </w:tcPr>
          <w:p w:rsidR="00897B2B" w:rsidRPr="005F3C42" w:rsidRDefault="00897B2B" w:rsidP="00EA03B7">
            <w:pPr>
              <w:suppressAutoHyphens/>
              <w:spacing w:after="0" w:line="100" w:lineRule="atLeast"/>
              <w:jc w:val="both"/>
              <w:rPr>
                <w:rFonts w:ascii="Times New Roman" w:eastAsia="SimSun" w:hAnsi="Times New Roman"/>
                <w:sz w:val="24"/>
                <w:szCs w:val="24"/>
                <w:lang w:eastAsia="ar-SA"/>
              </w:rPr>
            </w:pPr>
            <w:r w:rsidRPr="005F3C42">
              <w:rPr>
                <w:rFonts w:ascii="Times New Roman" w:hAnsi="Times New Roman"/>
                <w:sz w:val="24"/>
                <w:szCs w:val="24"/>
              </w:rPr>
              <w:t>Зовнішній вигляд і консистенція: однорідна маса з глянсуватою поверхнею, густа. Дозволено недостатньо густа, наявність поодиноких пухирців повітря, незначна крупинчатість. Смак і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 всією масою. Маркування, пакування та правила транспортування та зберігання згідно діючого стандарту.</w:t>
            </w:r>
          </w:p>
        </w:tc>
      </w:tr>
      <w:tr w:rsidR="00897B2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97B2B" w:rsidRPr="00CA0156" w:rsidRDefault="00B505C2" w:rsidP="0087402B">
            <w:pPr>
              <w:suppressAutoHyphens/>
              <w:spacing w:after="0" w:line="240" w:lineRule="auto"/>
              <w:rPr>
                <w:rFonts w:ascii="Times New Roman" w:hAnsi="Times New Roman"/>
                <w:bCs/>
              </w:rPr>
            </w:pPr>
            <w:r>
              <w:rPr>
                <w:rFonts w:ascii="Times New Roman" w:hAnsi="Times New Roman"/>
                <w:bCs/>
              </w:rPr>
              <w:t>Кефір фасований, жирність не нижче 2,5%</w:t>
            </w:r>
          </w:p>
        </w:tc>
        <w:tc>
          <w:tcPr>
            <w:tcW w:w="518" w:type="pct"/>
            <w:tcBorders>
              <w:top w:val="single" w:sz="4" w:space="0" w:color="000000"/>
              <w:left w:val="single" w:sz="4" w:space="0" w:color="000000"/>
              <w:bottom w:val="single" w:sz="4" w:space="0" w:color="000000"/>
              <w:right w:val="nil"/>
            </w:tcBorders>
            <w:vAlign w:val="center"/>
            <w:hideMark/>
          </w:tcPr>
          <w:p w:rsidR="00897B2B" w:rsidRPr="00EB2898"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97B2B" w:rsidRPr="00EB2898" w:rsidRDefault="005F3C4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1300</w:t>
            </w:r>
          </w:p>
        </w:tc>
        <w:tc>
          <w:tcPr>
            <w:tcW w:w="3093" w:type="pct"/>
            <w:tcBorders>
              <w:top w:val="single" w:sz="4" w:space="0" w:color="000000"/>
              <w:left w:val="single" w:sz="4" w:space="0" w:color="000000"/>
              <w:bottom w:val="single" w:sz="4" w:space="0" w:color="000000"/>
              <w:right w:val="single" w:sz="4" w:space="0" w:color="000000"/>
            </w:tcBorders>
            <w:vAlign w:val="center"/>
          </w:tcPr>
          <w:p w:rsidR="00897B2B" w:rsidRPr="005F3C42" w:rsidRDefault="005F3C42" w:rsidP="00EA03B7">
            <w:pPr>
              <w:suppressAutoHyphens/>
              <w:spacing w:after="0" w:line="100" w:lineRule="atLeast"/>
              <w:jc w:val="both"/>
              <w:rPr>
                <w:rFonts w:ascii="Times New Roman" w:eastAsia="SimSun" w:hAnsi="Times New Roman"/>
                <w:sz w:val="24"/>
                <w:szCs w:val="24"/>
                <w:lang w:eastAsia="ar-SA"/>
              </w:rPr>
            </w:pPr>
            <w:r w:rsidRPr="005F3C42">
              <w:rPr>
                <w:rFonts w:ascii="Times New Roman" w:hAnsi="Times New Roman"/>
                <w:sz w:val="24"/>
                <w:szCs w:val="24"/>
              </w:rPr>
              <w:t>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Маркування, пакування та правила транспортування та зберігання згідно діючого стандарту.</w:t>
            </w:r>
          </w:p>
        </w:tc>
      </w:tr>
      <w:tr w:rsidR="00897B2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97B2B" w:rsidRPr="00EB2898" w:rsidRDefault="00B505C2" w:rsidP="00416F6B">
            <w:pPr>
              <w:suppressAutoHyphens/>
              <w:spacing w:after="0" w:line="240" w:lineRule="auto"/>
              <w:rPr>
                <w:rFonts w:ascii="Times New Roman" w:hAnsi="Times New Roman"/>
              </w:rPr>
            </w:pPr>
            <w:r>
              <w:rPr>
                <w:rFonts w:ascii="Times New Roman" w:hAnsi="Times New Roman"/>
                <w:bCs/>
              </w:rPr>
              <w:t>Йогурт</w:t>
            </w:r>
            <w:r w:rsidR="00897B2B">
              <w:rPr>
                <w:rFonts w:ascii="Times New Roman" w:hAnsi="Times New Roman"/>
                <w:bCs/>
              </w:rPr>
              <w:t xml:space="preserve"> фасований, жирність не нижче 2,5%</w:t>
            </w:r>
          </w:p>
        </w:tc>
        <w:tc>
          <w:tcPr>
            <w:tcW w:w="518" w:type="pct"/>
            <w:tcBorders>
              <w:top w:val="single" w:sz="4" w:space="0" w:color="000000"/>
              <w:left w:val="single" w:sz="4" w:space="0" w:color="000000"/>
              <w:bottom w:val="single" w:sz="4" w:space="0" w:color="000000"/>
              <w:right w:val="nil"/>
            </w:tcBorders>
            <w:vAlign w:val="center"/>
            <w:hideMark/>
          </w:tcPr>
          <w:p w:rsidR="00897B2B" w:rsidRPr="00EB2898"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97B2B" w:rsidRPr="00EB2898" w:rsidRDefault="005F3C4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1300</w:t>
            </w:r>
          </w:p>
        </w:tc>
        <w:tc>
          <w:tcPr>
            <w:tcW w:w="3093" w:type="pct"/>
            <w:tcBorders>
              <w:top w:val="single" w:sz="4" w:space="0" w:color="000000"/>
              <w:left w:val="single" w:sz="4" w:space="0" w:color="000000"/>
              <w:bottom w:val="single" w:sz="4" w:space="0" w:color="000000"/>
              <w:right w:val="single" w:sz="4" w:space="0" w:color="000000"/>
            </w:tcBorders>
            <w:vAlign w:val="center"/>
          </w:tcPr>
          <w:p w:rsidR="00897B2B" w:rsidRPr="00EB2898" w:rsidRDefault="005F3C42" w:rsidP="00EA03B7">
            <w:pPr>
              <w:suppressAutoHyphens/>
              <w:spacing w:after="0" w:line="100" w:lineRule="atLeast"/>
              <w:jc w:val="both"/>
              <w:rPr>
                <w:rFonts w:ascii="Times New Roman" w:eastAsia="SimSun" w:hAnsi="Times New Roman"/>
                <w:lang w:eastAsia="ar-SA"/>
              </w:rPr>
            </w:pPr>
            <w:r w:rsidRPr="00E86D7E">
              <w:rPr>
                <w:rFonts w:ascii="Times New Roman" w:eastAsia="Times New Roman" w:hAnsi="Times New Roman" w:cs="Times New Roman CYR"/>
                <w:sz w:val="24"/>
                <w:szCs w:val="24"/>
                <w:lang w:eastAsia="ru-RU"/>
              </w:rPr>
              <w:t>Смак і запах: чистий, кисломолочний, без</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сторонніх присмаків і запахів, у міру</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солодкий, з присмаком відповідного наповнювача або ароматизатора. Консистенція однорідна, ніжна, з</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порушеним або непорушеним згустком, уміру щільна, без газоутворення. За додаванням стабілізатора – желе- або кремо подібна, з частками внесених добавок або наповнювачів, які розподілені за всією масою йогурту або шарами. Колір від білого до світло-жовтого, обумовлений кольором застосованого наповнювача. Фізико-хімічні та мікробіологічні показники відповідно до ДСТУ. Пакування та маркування</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відповідно до ДСТУ.</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w:t>
            </w:r>
            <w:r w:rsidR="00EA33AB" w:rsidRPr="00821F8A">
              <w:rPr>
                <w:rFonts w:ascii="Times New Roman" w:eastAsia="Times New Roman" w:hAnsi="Times New Roman" w:cs="Times New Roman"/>
                <w:color w:val="222222"/>
                <w:sz w:val="20"/>
                <w:szCs w:val="20"/>
                <w:lang w:eastAsia="ru-RU"/>
              </w:rPr>
              <w:t xml:space="preserve"> ISO 9001:2015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00EA33AB"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00EA33AB"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виданий органом із сертифікації</w:t>
            </w:r>
            <w:r w:rsidR="003B055A">
              <w:rPr>
                <w:rFonts w:ascii="Times New Roman" w:eastAsia="Times New Roman" w:hAnsi="Times New Roman" w:cs="Times New Roman"/>
                <w:color w:val="222222"/>
                <w:sz w:val="20"/>
                <w:szCs w:val="20"/>
                <w:lang w:eastAsia="ru-RU"/>
              </w:rPr>
              <w:t xml:space="preserve">, </w:t>
            </w:r>
            <w:r w:rsidR="00EA33AB" w:rsidRPr="00193BE7">
              <w:rPr>
                <w:rFonts w:ascii="Times New Roman" w:eastAsia="Times New Roman" w:hAnsi="Times New Roman" w:cs="Times New Roman"/>
                <w:color w:val="222222"/>
                <w:sz w:val="20"/>
                <w:szCs w:val="20"/>
                <w:lang w:eastAsia="ru-RU"/>
              </w:rPr>
              <w:t xml:space="preserve"> </w:t>
            </w:r>
            <w:r w:rsidR="003B055A">
              <w:rPr>
                <w:rFonts w:ascii="Times New Roman" w:eastAsia="Times New Roman" w:hAnsi="Times New Roman" w:cs="Times New Roman"/>
                <w:color w:val="222222"/>
                <w:sz w:val="20"/>
                <w:szCs w:val="20"/>
                <w:lang w:eastAsia="ru-RU"/>
              </w:rPr>
              <w:t>акредитованого НААУ</w:t>
            </w:r>
            <w:r w:rsidR="003B055A" w:rsidRPr="00821F8A">
              <w:rPr>
                <w:rFonts w:ascii="Times New Roman" w:eastAsia="Times New Roman" w:hAnsi="Times New Roman" w:cs="Times New Roman"/>
                <w:color w:val="222222"/>
                <w:sz w:val="20"/>
                <w:szCs w:val="20"/>
                <w:lang w:eastAsia="ru-RU"/>
              </w:rPr>
              <w:t xml:space="preserve"> на ім’я Учасника</w:t>
            </w:r>
            <w:r w:rsidR="003B055A">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3B055A"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19011:2019 «Настанови щодо здійснення аудитів систем управління»</w:t>
            </w:r>
            <w:r w:rsidR="007C459A">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
        </w:tc>
      </w:tr>
      <w:tr w:rsidR="003B055A" w:rsidRPr="00821F8A" w:rsidTr="00416F6B">
        <w:trPr>
          <w:trHeight w:val="240"/>
        </w:trPr>
        <w:tc>
          <w:tcPr>
            <w:tcW w:w="10348" w:type="dxa"/>
            <w:tcMar>
              <w:top w:w="100" w:type="dxa"/>
              <w:left w:w="100" w:type="dxa"/>
              <w:bottom w:w="100" w:type="dxa"/>
              <w:right w:w="100" w:type="dxa"/>
            </w:tcMar>
          </w:tcPr>
          <w:p w:rsidR="003B055A" w:rsidRDefault="003B055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E1CC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91216" w:rsidP="00E91216">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w:t>
            </w:r>
            <w:r>
              <w:rPr>
                <w:rFonts w:ascii="Times New Roman" w:eastAsia="Times New Roman" w:hAnsi="Times New Roman" w:cs="Times New Roman"/>
                <w:color w:val="222222"/>
                <w:sz w:val="20"/>
                <w:szCs w:val="20"/>
                <w:lang w:eastAsia="ru-RU"/>
              </w:rPr>
              <w:t>щодо протидії корупції ДСТУ ISO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w:t>
            </w:r>
            <w:r w:rsidRPr="00821F8A">
              <w:rPr>
                <w:rFonts w:ascii="Times New Roman" w:eastAsia="Times New Roman" w:hAnsi="Times New Roman" w:cs="Times New Roman"/>
                <w:color w:val="222222"/>
                <w:sz w:val="20"/>
                <w:szCs w:val="20"/>
                <w:lang w:eastAsia="ru-RU"/>
              </w:rPr>
              <w:t>001:201</w:t>
            </w:r>
            <w:r>
              <w:rPr>
                <w:rFonts w:ascii="Times New Roman" w:eastAsia="Times New Roman" w:hAnsi="Times New Roman" w:cs="Times New Roman"/>
                <w:color w:val="222222"/>
                <w:sz w:val="20"/>
                <w:szCs w:val="20"/>
                <w:lang w:eastAsia="ru-RU"/>
              </w:rPr>
              <w:t>6, IDT)*</w:t>
            </w:r>
            <w:r w:rsidRPr="00E91216">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 xml:space="preserve"> виданий</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Pr="007C459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Сертифікат відповідності вимогам стандарту SI</w:t>
            </w:r>
            <w:r>
              <w:rPr>
                <w:rFonts w:ascii="Times New Roman" w:eastAsia="Times New Roman" w:hAnsi="Times New Roman"/>
                <w:color w:val="222222"/>
                <w:sz w:val="20"/>
                <w:szCs w:val="20"/>
                <w:lang w:val="en-US" w:eastAsia="ru-RU"/>
              </w:rPr>
              <w:t>C</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COVID</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FREE</w:t>
            </w:r>
            <w:r w:rsidRPr="007C459A">
              <w:rPr>
                <w:rFonts w:ascii="Times New Roman" w:eastAsia="Times New Roman" w:hAnsi="Times New Roman"/>
                <w:color w:val="222222"/>
                <w:sz w:val="20"/>
                <w:szCs w:val="20"/>
                <w:lang w:eastAsia="ru-RU"/>
              </w:rPr>
              <w:t xml:space="preserve">:2020 </w:t>
            </w:r>
            <w:r>
              <w:rPr>
                <w:rFonts w:ascii="Times New Roman" w:eastAsia="Times New Roman" w:hAnsi="Times New Roman"/>
                <w:color w:val="222222"/>
                <w:sz w:val="20"/>
                <w:szCs w:val="20"/>
                <w:lang w:eastAsia="ru-RU"/>
              </w:rPr>
              <w:t>«Система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-19. Спеціальні вимоги для організації» виданий на ім’</w:t>
            </w:r>
            <w:r w:rsidRPr="007C459A">
              <w:rPr>
                <w:rFonts w:ascii="Times New Roman" w:eastAsia="Times New Roman" w:hAnsi="Times New Roman"/>
                <w:color w:val="222222"/>
                <w:sz w:val="20"/>
                <w:szCs w:val="20"/>
                <w:lang w:val="ru-RU" w:eastAsia="ru-RU"/>
              </w:rPr>
              <w:t>я Учасника 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Default="007C459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Сертифікат про підтвердження кваліфікації «Уповноваженого з Системи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 xml:space="preserve">-19» </w:t>
            </w:r>
            <w:r w:rsidRPr="007C459A">
              <w:rPr>
                <w:rFonts w:ascii="Times New Roman" w:eastAsia="Times New Roman" w:hAnsi="Times New Roman"/>
                <w:color w:val="222222"/>
                <w:sz w:val="20"/>
                <w:szCs w:val="20"/>
                <w:lang w:val="ru-RU" w:eastAsia="ru-RU"/>
              </w:rPr>
              <w:t>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Pr="00392FF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Звіт </w:t>
            </w:r>
            <w:r w:rsidR="00392FFA">
              <w:rPr>
                <w:rFonts w:ascii="Times New Roman" w:eastAsia="Times New Roman" w:hAnsi="Times New Roman"/>
                <w:color w:val="222222"/>
                <w:sz w:val="20"/>
                <w:szCs w:val="20"/>
                <w:lang w:eastAsia="ru-RU"/>
              </w:rPr>
              <w:t>по аудиту F-</w:t>
            </w:r>
            <w:r w:rsidR="00392FFA" w:rsidRPr="00392FFA">
              <w:rPr>
                <w:rFonts w:ascii="Times New Roman" w:eastAsia="Times New Roman" w:hAnsi="Times New Roman"/>
                <w:color w:val="222222"/>
                <w:sz w:val="20"/>
                <w:szCs w:val="20"/>
                <w:lang w:val="ru-RU" w:eastAsia="ru-RU"/>
              </w:rPr>
              <w:t xml:space="preserve"> </w:t>
            </w:r>
            <w:r w:rsidR="00392FFA">
              <w:rPr>
                <w:rFonts w:ascii="Times New Roman" w:eastAsia="Times New Roman" w:hAnsi="Times New Roman"/>
                <w:color w:val="222222"/>
                <w:sz w:val="20"/>
                <w:szCs w:val="20"/>
                <w:lang w:val="en-US" w:eastAsia="ru-RU"/>
              </w:rPr>
              <w:t>COVID</w:t>
            </w:r>
            <w:r w:rsidR="00392FFA" w:rsidRPr="007C459A">
              <w:rPr>
                <w:rFonts w:ascii="Times New Roman" w:eastAsia="Times New Roman" w:hAnsi="Times New Roman"/>
                <w:color w:val="222222"/>
                <w:sz w:val="20"/>
                <w:szCs w:val="20"/>
                <w:lang w:eastAsia="ru-RU"/>
              </w:rPr>
              <w:t>-</w:t>
            </w:r>
            <w:r w:rsidR="00392FFA">
              <w:rPr>
                <w:rFonts w:ascii="Times New Roman" w:eastAsia="Times New Roman" w:hAnsi="Times New Roman"/>
                <w:color w:val="222222"/>
                <w:sz w:val="20"/>
                <w:szCs w:val="20"/>
                <w:lang w:val="en-US" w:eastAsia="ru-RU"/>
              </w:rPr>
              <w:t>FREE</w:t>
            </w:r>
            <w:r w:rsidR="00392FFA" w:rsidRPr="00392FFA">
              <w:rPr>
                <w:rFonts w:ascii="Times New Roman" w:eastAsia="Times New Roman" w:hAnsi="Times New Roman"/>
                <w:color w:val="222222"/>
                <w:sz w:val="20"/>
                <w:szCs w:val="20"/>
                <w:lang w:val="ru-RU" w:eastAsia="ru-RU"/>
              </w:rPr>
              <w:t xml:space="preserve"> Система протидії </w:t>
            </w:r>
            <w:r w:rsidR="00392FFA">
              <w:rPr>
                <w:rFonts w:ascii="Times New Roman" w:eastAsia="Times New Roman" w:hAnsi="Times New Roman"/>
                <w:color w:val="222222"/>
                <w:sz w:val="20"/>
                <w:szCs w:val="20"/>
                <w:lang w:eastAsia="ru-RU"/>
              </w:rPr>
              <w:t>С</w:t>
            </w:r>
            <w:r w:rsidR="00392FFA">
              <w:rPr>
                <w:rFonts w:ascii="Times New Roman" w:eastAsia="Times New Roman" w:hAnsi="Times New Roman"/>
                <w:color w:val="222222"/>
                <w:sz w:val="20"/>
                <w:szCs w:val="20"/>
                <w:lang w:val="en-US" w:eastAsia="ru-RU"/>
              </w:rPr>
              <w:t>OVID</w:t>
            </w:r>
            <w:r w:rsidR="00392FFA">
              <w:rPr>
                <w:rFonts w:ascii="Times New Roman" w:eastAsia="Times New Roman" w:hAnsi="Times New Roman"/>
                <w:color w:val="222222"/>
                <w:sz w:val="20"/>
                <w:szCs w:val="20"/>
                <w:lang w:eastAsia="ru-RU"/>
              </w:rPr>
              <w:t xml:space="preserve">-19 дійсний до 31 </w:t>
            </w:r>
            <w:r w:rsidR="00392FFA">
              <w:rPr>
                <w:rFonts w:ascii="Times New Roman" w:eastAsia="Times New Roman" w:hAnsi="Times New Roman"/>
                <w:color w:val="222222"/>
                <w:sz w:val="20"/>
                <w:szCs w:val="20"/>
                <w:lang w:val="ru-RU" w:eastAsia="ru-RU"/>
              </w:rPr>
              <w:t>грудня 2023 року.</w:t>
            </w:r>
          </w:p>
        </w:tc>
      </w:tr>
      <w:tr w:rsidR="007C459A" w:rsidRPr="00821F8A" w:rsidTr="00416F6B">
        <w:trPr>
          <w:trHeight w:val="240"/>
        </w:trPr>
        <w:tc>
          <w:tcPr>
            <w:tcW w:w="10348" w:type="dxa"/>
            <w:tcMar>
              <w:top w:w="100" w:type="dxa"/>
              <w:left w:w="100" w:type="dxa"/>
              <w:bottom w:w="100" w:type="dxa"/>
              <w:right w:w="100" w:type="dxa"/>
            </w:tcMar>
          </w:tcPr>
          <w:p w:rsidR="007C459A" w:rsidRDefault="00FA5654"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24193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(Копія титульного листа процедури),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0D76A1">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w:t>
            </w:r>
            <w:r w:rsidR="000D76A1">
              <w:rPr>
                <w:rFonts w:ascii="Times New Roman" w:eastAsia="Times New Roman" w:hAnsi="Times New Roman"/>
                <w:color w:val="222222"/>
                <w:sz w:val="20"/>
                <w:szCs w:val="20"/>
                <w:lang w:eastAsia="ru-RU"/>
              </w:rPr>
              <w:t>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tc>
      </w:tr>
      <w:tr w:rsidR="0024193A" w:rsidRPr="00821F8A" w:rsidTr="00416F6B">
        <w:trPr>
          <w:trHeight w:val="240"/>
        </w:trPr>
        <w:tc>
          <w:tcPr>
            <w:tcW w:w="10348" w:type="dxa"/>
            <w:tcMar>
              <w:top w:w="100" w:type="dxa"/>
              <w:left w:w="100" w:type="dxa"/>
              <w:bottom w:w="100" w:type="dxa"/>
              <w:right w:w="100" w:type="dxa"/>
            </w:tcMar>
          </w:tcPr>
          <w:p w:rsidR="0024193A" w:rsidRPr="000D76A1" w:rsidRDefault="000D76A1"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w:t>
            </w:r>
            <w:r w:rsidRPr="000D76A1">
              <w:rPr>
                <w:rFonts w:ascii="Times New Roman" w:eastAsia="Times New Roman" w:hAnsi="Times New Roman"/>
                <w:color w:val="222222"/>
                <w:sz w:val="20"/>
                <w:szCs w:val="20"/>
                <w:lang w:eastAsia="ru-RU"/>
              </w:rPr>
              <w:t xml:space="preserve">я </w:t>
            </w:r>
            <w:r>
              <w:rPr>
                <w:rFonts w:ascii="Times New Roman" w:eastAsia="Times New Roman" w:hAnsi="Times New Roman"/>
                <w:color w:val="222222"/>
                <w:sz w:val="20"/>
                <w:szCs w:val="20"/>
                <w:lang w:eastAsia="ru-RU"/>
              </w:rPr>
              <w:t xml:space="preserve">людини </w:t>
            </w:r>
            <w:r w:rsidR="006A0295">
              <w:rPr>
                <w:rFonts w:ascii="Times New Roman" w:eastAsia="Times New Roman" w:hAnsi="Times New Roman"/>
                <w:color w:val="222222"/>
                <w:sz w:val="20"/>
                <w:szCs w:val="20"/>
                <w:lang w:eastAsia="ru-RU"/>
              </w:rPr>
              <w:t>та документи, що встановлюють порядок виконання Учасником цих заходів. (Копія титульного листа процедури; Копія Протоколу вилучення/відкликання).</w:t>
            </w:r>
          </w:p>
        </w:tc>
      </w:tr>
      <w:tr w:rsidR="0024193A" w:rsidRPr="00821F8A" w:rsidTr="00416F6B">
        <w:trPr>
          <w:trHeight w:val="240"/>
        </w:trPr>
        <w:tc>
          <w:tcPr>
            <w:tcW w:w="10348" w:type="dxa"/>
            <w:tcMar>
              <w:top w:w="100" w:type="dxa"/>
              <w:left w:w="100" w:type="dxa"/>
              <w:bottom w:w="100" w:type="dxa"/>
              <w:right w:w="100" w:type="dxa"/>
            </w:tcMar>
          </w:tcPr>
          <w:p w:rsidR="0024193A" w:rsidRDefault="006A0295"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що містить пояснення щодо виконання Учасником положень ч.2 ст.20 Закону України №771/97 «Про основні принципи та вимоги до безпечності та якості харчових продуктів» зі змінами.</w:t>
            </w:r>
          </w:p>
        </w:tc>
      </w:tr>
      <w:tr w:rsidR="007C459A" w:rsidRPr="00821F8A" w:rsidTr="00416F6B">
        <w:trPr>
          <w:trHeight w:val="240"/>
        </w:trPr>
        <w:tc>
          <w:tcPr>
            <w:tcW w:w="10348" w:type="dxa"/>
            <w:tcMar>
              <w:top w:w="100" w:type="dxa"/>
              <w:left w:w="100" w:type="dxa"/>
              <w:bottom w:w="100" w:type="dxa"/>
              <w:right w:w="100" w:type="dxa"/>
            </w:tcMar>
          </w:tcPr>
          <w:p w:rsidR="007C459A" w:rsidRPr="00C857BF" w:rsidRDefault="00C857BF"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яка містить опис всіх обов’</w:t>
            </w:r>
            <w:r w:rsidRPr="00C857BF">
              <w:rPr>
                <w:rFonts w:ascii="Times New Roman" w:eastAsia="Times New Roman" w:hAnsi="Times New Roman"/>
                <w:color w:val="222222"/>
                <w:sz w:val="20"/>
                <w:szCs w:val="20"/>
                <w:lang w:eastAsia="ru-RU"/>
              </w:rPr>
              <w:t xml:space="preserve">язкових процедур, що реалізують усі принципи передбачені ст. </w:t>
            </w:r>
            <w:r>
              <w:rPr>
                <w:rFonts w:ascii="Times New Roman" w:eastAsia="Times New Roman" w:hAnsi="Times New Roman"/>
                <w:color w:val="222222"/>
                <w:sz w:val="20"/>
                <w:szCs w:val="20"/>
                <w:lang w:eastAsia="ru-RU"/>
              </w:rPr>
              <w:lastRenderedPageBreak/>
              <w:t xml:space="preserve">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 (Копія титульного листа процедури; Копії Журналів з КТК з датами за останній </w:t>
            </w:r>
            <w:r w:rsidR="00092EA3">
              <w:rPr>
                <w:rFonts w:ascii="Times New Roman" w:eastAsia="Times New Roman" w:hAnsi="Times New Roman"/>
                <w:color w:val="222222"/>
                <w:sz w:val="20"/>
                <w:szCs w:val="20"/>
                <w:lang w:eastAsia="ru-RU"/>
              </w:rPr>
              <w:t>місяць).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lastRenderedPageBreak/>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Pr="00AB06AB" w:rsidRDefault="00AE0555" w:rsidP="00EA33AB">
      <w:pPr>
        <w:spacing w:after="0" w:line="240" w:lineRule="auto"/>
        <w:rPr>
          <w:rFonts w:ascii="Arial" w:eastAsia="Arial" w:hAnsi="Arial" w:cs="Arial"/>
          <w:strike/>
          <w:color w:val="000000"/>
          <w:sz w:val="24"/>
          <w:szCs w:val="24"/>
          <w:lang w:eastAsia="ar-SA"/>
        </w:rPr>
      </w:pPr>
    </w:p>
    <w:p w:rsidR="00AE0555" w:rsidRPr="00AB06AB" w:rsidRDefault="00AE0555" w:rsidP="00AE0555">
      <w:pPr>
        <w:spacing w:after="0"/>
        <w:jc w:val="right"/>
        <w:rPr>
          <w:rFonts w:ascii="Times New Roman" w:eastAsia="SimSun" w:hAnsi="Times New Roman" w:cs="Mangal"/>
          <w:b/>
          <w:bCs/>
          <w:iCs/>
          <w:strike/>
          <w:kern w:val="1"/>
          <w:sz w:val="24"/>
          <w:szCs w:val="24"/>
          <w:highlight w:val="red"/>
          <w:lang w:eastAsia="hi-IN" w:bidi="hi-IN"/>
        </w:rPr>
      </w:pPr>
      <w:r w:rsidRPr="00AB06AB">
        <w:rPr>
          <w:rFonts w:ascii="Times New Roman" w:eastAsia="SimSun" w:hAnsi="Times New Roman" w:cs="Mangal"/>
          <w:b/>
          <w:bCs/>
          <w:iCs/>
          <w:strike/>
          <w:kern w:val="1"/>
          <w:sz w:val="24"/>
          <w:szCs w:val="24"/>
          <w:highlight w:val="red"/>
          <w:lang w:eastAsia="hi-IN" w:bidi="hi-IN"/>
        </w:rPr>
        <w:t>Додаток №7</w:t>
      </w:r>
    </w:p>
    <w:p w:rsidR="00AE0555" w:rsidRPr="00AB06AB" w:rsidRDefault="00AE0555" w:rsidP="00AE0555">
      <w:pPr>
        <w:pStyle w:val="a8"/>
        <w:jc w:val="right"/>
        <w:rPr>
          <w:rFonts w:ascii="Times New Roman" w:eastAsia="SimSun" w:hAnsi="Times New Roman" w:cs="Mangal"/>
          <w:b/>
          <w:bCs/>
          <w:iCs/>
          <w:strike/>
          <w:kern w:val="1"/>
          <w:sz w:val="24"/>
          <w:szCs w:val="24"/>
          <w:highlight w:val="red"/>
          <w:lang w:eastAsia="hi-IN" w:bidi="hi-IN"/>
        </w:rPr>
      </w:pPr>
      <w:r w:rsidRPr="00AB06AB">
        <w:rPr>
          <w:rFonts w:ascii="Times New Roman" w:eastAsia="SimSun" w:hAnsi="Times New Roman" w:cs="Mangal"/>
          <w:b/>
          <w:bCs/>
          <w:iCs/>
          <w:strike/>
          <w:kern w:val="1"/>
          <w:sz w:val="24"/>
          <w:szCs w:val="24"/>
          <w:highlight w:val="red"/>
          <w:lang w:eastAsia="hi-IN" w:bidi="hi-IN"/>
        </w:rPr>
        <w:t>до тендерної документації</w:t>
      </w:r>
    </w:p>
    <w:p w:rsidR="00AE0555" w:rsidRPr="00AB06AB" w:rsidRDefault="00AE0555" w:rsidP="00EA33AB">
      <w:pPr>
        <w:spacing w:after="0" w:line="240" w:lineRule="auto"/>
        <w:rPr>
          <w:rFonts w:ascii="Arial" w:eastAsia="Arial" w:hAnsi="Arial" w:cs="Arial"/>
          <w:strike/>
          <w:color w:val="000000"/>
          <w:sz w:val="24"/>
          <w:szCs w:val="24"/>
          <w:highlight w:val="red"/>
          <w:lang w:eastAsia="ar-SA"/>
        </w:rPr>
      </w:pPr>
    </w:p>
    <w:p w:rsidR="00694A8D" w:rsidRPr="00AB06AB" w:rsidRDefault="00694A8D" w:rsidP="00694A8D">
      <w:pPr>
        <w:suppressAutoHyphens/>
        <w:rPr>
          <w:rFonts w:ascii="Times New Roman" w:eastAsia="Times New Roman" w:hAnsi="Times New Roman"/>
          <w:i/>
          <w:strike/>
          <w:sz w:val="20"/>
          <w:szCs w:val="20"/>
          <w:highlight w:val="red"/>
          <w:lang w:eastAsia="ar-SA"/>
        </w:rPr>
      </w:pPr>
      <w:r w:rsidRPr="00AB06AB">
        <w:rPr>
          <w:rFonts w:ascii="Times New Roman" w:eastAsia="Times New Roman" w:hAnsi="Times New Roman"/>
          <w:i/>
          <w:strike/>
          <w:sz w:val="20"/>
          <w:szCs w:val="20"/>
          <w:highlight w:val="red"/>
          <w:lang w:eastAsia="ar-SA"/>
        </w:rPr>
        <w:t>Подається у наведеному нижче вигляді.</w:t>
      </w:r>
    </w:p>
    <w:p w:rsidR="00694A8D" w:rsidRPr="00AB06AB" w:rsidRDefault="00694A8D" w:rsidP="00694A8D">
      <w:pPr>
        <w:suppressAutoHyphens/>
        <w:rPr>
          <w:rFonts w:ascii="Times New Roman" w:eastAsia="Times New Roman" w:hAnsi="Times New Roman"/>
          <w:strike/>
          <w:sz w:val="24"/>
          <w:szCs w:val="24"/>
          <w:highlight w:val="red"/>
          <w:lang w:eastAsia="ar-SA"/>
        </w:rPr>
      </w:pPr>
      <w:r w:rsidRPr="00AB06AB">
        <w:rPr>
          <w:rFonts w:ascii="Times New Roman" w:eastAsia="Times New Roman" w:hAnsi="Times New Roman"/>
          <w:i/>
          <w:strike/>
          <w:sz w:val="20"/>
          <w:szCs w:val="20"/>
          <w:highlight w:val="red"/>
          <w:lang w:eastAsia="ar-SA"/>
        </w:rPr>
        <w:t>Учасник не повинен відступати від даної форми.</w:t>
      </w:r>
    </w:p>
    <w:p w:rsidR="00694A8D" w:rsidRPr="00AB06AB" w:rsidRDefault="00694A8D" w:rsidP="00EA33AB">
      <w:pPr>
        <w:spacing w:after="0" w:line="240" w:lineRule="auto"/>
        <w:rPr>
          <w:rFonts w:ascii="Arial" w:eastAsia="Arial" w:hAnsi="Arial" w:cs="Arial"/>
          <w:strike/>
          <w:color w:val="000000"/>
          <w:sz w:val="24"/>
          <w:szCs w:val="24"/>
          <w:highlight w:val="red"/>
          <w:lang w:eastAsia="ar-SA"/>
        </w:rPr>
      </w:pPr>
    </w:p>
    <w:p w:rsidR="00694A8D" w:rsidRPr="00AB06AB" w:rsidRDefault="00694A8D"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xml:space="preserve">                                                                                                ПОГОДЖЕНО:</w:t>
      </w:r>
    </w:p>
    <w:p w:rsidR="00CE3302" w:rsidRPr="00AB06AB" w:rsidRDefault="00CE330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xml:space="preserve">                                                                                             </w:t>
      </w:r>
      <w:r w:rsidR="00694A8D" w:rsidRPr="00AB06AB">
        <w:rPr>
          <w:rFonts w:ascii="Arial" w:eastAsia="Arial" w:hAnsi="Arial" w:cs="Arial"/>
          <w:strike/>
          <w:color w:val="000000"/>
          <w:sz w:val="24"/>
          <w:szCs w:val="24"/>
          <w:highlight w:val="red"/>
          <w:lang w:eastAsia="ar-SA"/>
        </w:rPr>
        <w:t xml:space="preserve">   </w:t>
      </w:r>
      <w:r w:rsidRPr="00AB06AB">
        <w:rPr>
          <w:rFonts w:ascii="Arial" w:eastAsia="Arial" w:hAnsi="Arial" w:cs="Arial"/>
          <w:strike/>
          <w:color w:val="000000"/>
          <w:sz w:val="24"/>
          <w:szCs w:val="24"/>
          <w:highlight w:val="red"/>
          <w:lang w:eastAsia="ar-SA"/>
        </w:rPr>
        <w:t>Начальник відділу освіти</w:t>
      </w:r>
    </w:p>
    <w:p w:rsidR="00CE3302" w:rsidRPr="00AB06AB" w:rsidRDefault="00CE330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xml:space="preserve">                                                                                                виконкому Саксаганської районної </w:t>
      </w:r>
    </w:p>
    <w:p w:rsidR="00CE3302" w:rsidRPr="00AB06AB" w:rsidRDefault="00CE330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xml:space="preserve">                                                                   </w:t>
      </w:r>
      <w:r w:rsidR="00694A8D" w:rsidRPr="00AB06AB">
        <w:rPr>
          <w:rFonts w:ascii="Arial" w:eastAsia="Arial" w:hAnsi="Arial" w:cs="Arial"/>
          <w:strike/>
          <w:color w:val="000000"/>
          <w:sz w:val="24"/>
          <w:szCs w:val="24"/>
          <w:highlight w:val="red"/>
          <w:lang w:eastAsia="ar-SA"/>
        </w:rPr>
        <w:t xml:space="preserve">                             </w:t>
      </w:r>
      <w:r w:rsidRPr="00AB06AB">
        <w:rPr>
          <w:rFonts w:ascii="Arial" w:eastAsia="Arial" w:hAnsi="Arial" w:cs="Arial"/>
          <w:strike/>
          <w:color w:val="000000"/>
          <w:sz w:val="24"/>
          <w:szCs w:val="24"/>
          <w:highlight w:val="red"/>
          <w:lang w:eastAsia="ar-SA"/>
        </w:rPr>
        <w:t>у місті ради</w:t>
      </w:r>
    </w:p>
    <w:p w:rsidR="00CE3302" w:rsidRPr="00AB06AB" w:rsidRDefault="00CE330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xml:space="preserve">                                                                   </w:t>
      </w:r>
      <w:r w:rsidR="00694A8D" w:rsidRPr="00AB06AB">
        <w:rPr>
          <w:rFonts w:ascii="Arial" w:eastAsia="Arial" w:hAnsi="Arial" w:cs="Arial"/>
          <w:strike/>
          <w:color w:val="000000"/>
          <w:sz w:val="24"/>
          <w:szCs w:val="24"/>
          <w:highlight w:val="red"/>
          <w:lang w:eastAsia="ar-SA"/>
        </w:rPr>
        <w:t xml:space="preserve">                             </w:t>
      </w:r>
      <w:r w:rsidRPr="00AB06AB">
        <w:rPr>
          <w:rFonts w:ascii="Arial" w:eastAsia="Arial" w:hAnsi="Arial" w:cs="Arial"/>
          <w:strike/>
          <w:color w:val="000000"/>
          <w:sz w:val="24"/>
          <w:szCs w:val="24"/>
          <w:highlight w:val="red"/>
          <w:lang w:eastAsia="ar-SA"/>
        </w:rPr>
        <w:t xml:space="preserve">____________ </w:t>
      </w:r>
      <w:r w:rsidR="00694A8D" w:rsidRPr="00AB06AB">
        <w:rPr>
          <w:rFonts w:ascii="Arial" w:eastAsia="Arial" w:hAnsi="Arial" w:cs="Arial"/>
          <w:strike/>
          <w:color w:val="000000"/>
          <w:sz w:val="24"/>
          <w:szCs w:val="24"/>
          <w:highlight w:val="red"/>
          <w:lang w:eastAsia="ar-SA"/>
        </w:rPr>
        <w:t>Тетяна ЛАВРІНЕНКО</w:t>
      </w:r>
    </w:p>
    <w:p w:rsidR="00694A8D" w:rsidRPr="00AB06AB" w:rsidRDefault="00694A8D" w:rsidP="00EA33AB">
      <w:pPr>
        <w:spacing w:after="0" w:line="240" w:lineRule="auto"/>
        <w:rPr>
          <w:rFonts w:ascii="Arial" w:eastAsia="Arial" w:hAnsi="Arial" w:cs="Arial"/>
          <w:strike/>
          <w:color w:val="000000"/>
          <w:sz w:val="24"/>
          <w:szCs w:val="24"/>
          <w:highlight w:val="red"/>
          <w:lang w:eastAsia="ar-SA"/>
        </w:rPr>
      </w:pPr>
    </w:p>
    <w:p w:rsidR="00CE3302" w:rsidRPr="00AB06AB" w:rsidRDefault="00AF3270"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xml:space="preserve">                                                                                                                    </w:t>
      </w:r>
      <w:r w:rsidR="00694A8D" w:rsidRPr="00AB06AB">
        <w:rPr>
          <w:rFonts w:ascii="Arial" w:eastAsia="Arial" w:hAnsi="Arial" w:cs="Arial"/>
          <w:strike/>
          <w:color w:val="000000"/>
          <w:sz w:val="24"/>
          <w:szCs w:val="24"/>
          <w:highlight w:val="red"/>
          <w:lang w:eastAsia="ar-SA"/>
        </w:rPr>
        <w:t xml:space="preserve">         м.п.</w:t>
      </w:r>
    </w:p>
    <w:p w:rsidR="00CE3302" w:rsidRPr="00AB06AB" w:rsidRDefault="00CE3302" w:rsidP="00EA33AB">
      <w:pPr>
        <w:spacing w:after="0" w:line="240" w:lineRule="auto"/>
        <w:rPr>
          <w:rFonts w:ascii="Arial" w:eastAsia="Arial" w:hAnsi="Arial" w:cs="Arial"/>
          <w:strike/>
          <w:color w:val="000000"/>
          <w:sz w:val="24"/>
          <w:szCs w:val="24"/>
          <w:highlight w:val="red"/>
          <w:lang w:eastAsia="ar-SA"/>
        </w:rPr>
      </w:pPr>
    </w:p>
    <w:p w:rsidR="00CE3302" w:rsidRPr="00AB06AB" w:rsidRDefault="00CE3302" w:rsidP="00EA33AB">
      <w:pPr>
        <w:spacing w:after="0" w:line="240" w:lineRule="auto"/>
        <w:rPr>
          <w:rFonts w:ascii="Arial" w:eastAsia="Arial" w:hAnsi="Arial" w:cs="Arial"/>
          <w:strike/>
          <w:color w:val="000000"/>
          <w:sz w:val="24"/>
          <w:szCs w:val="24"/>
          <w:highlight w:val="red"/>
          <w:lang w:eastAsia="ar-SA"/>
        </w:rPr>
      </w:pPr>
    </w:p>
    <w:p w:rsidR="00AE0555" w:rsidRPr="00AB06AB" w:rsidRDefault="00602A32" w:rsidP="00EA33AB">
      <w:pPr>
        <w:spacing w:after="0" w:line="240" w:lineRule="auto"/>
        <w:rPr>
          <w:rFonts w:ascii="Arial" w:eastAsia="Arial" w:hAnsi="Arial" w:cs="Arial"/>
          <w:b/>
          <w:strike/>
          <w:color w:val="000000"/>
          <w:sz w:val="24"/>
          <w:szCs w:val="24"/>
          <w:highlight w:val="red"/>
          <w:lang w:eastAsia="ar-SA"/>
        </w:rPr>
      </w:pPr>
      <w:r w:rsidRPr="00AB06AB">
        <w:rPr>
          <w:rFonts w:ascii="Arial" w:eastAsia="Arial" w:hAnsi="Arial" w:cs="Arial"/>
          <w:b/>
          <w:strike/>
          <w:color w:val="000000"/>
          <w:sz w:val="24"/>
          <w:szCs w:val="24"/>
          <w:highlight w:val="red"/>
          <w:lang w:eastAsia="ar-SA"/>
        </w:rPr>
        <w:t xml:space="preserve">                             Графік постачання продуктів харчування в заклади освіти </w:t>
      </w:r>
    </w:p>
    <w:p w:rsidR="00602A32" w:rsidRPr="00AB06AB" w:rsidRDefault="00602A32" w:rsidP="00EA33AB">
      <w:pPr>
        <w:spacing w:after="0" w:line="240" w:lineRule="auto"/>
        <w:rPr>
          <w:rFonts w:ascii="Arial" w:eastAsia="Arial" w:hAnsi="Arial" w:cs="Arial"/>
          <w:b/>
          <w:strike/>
          <w:color w:val="000000"/>
          <w:sz w:val="24"/>
          <w:szCs w:val="24"/>
          <w:highlight w:val="red"/>
          <w:lang w:eastAsia="ar-SA"/>
        </w:rPr>
      </w:pPr>
      <w:r w:rsidRPr="00AB06AB">
        <w:rPr>
          <w:rFonts w:ascii="Arial" w:eastAsia="Arial" w:hAnsi="Arial" w:cs="Arial"/>
          <w:b/>
          <w:strike/>
          <w:color w:val="000000"/>
          <w:sz w:val="24"/>
          <w:szCs w:val="24"/>
          <w:highlight w:val="red"/>
          <w:lang w:eastAsia="ar-SA"/>
        </w:rPr>
        <w:t xml:space="preserve">                          відділу освіти виконкому Саксаганської районної у місті ради*</w:t>
      </w:r>
    </w:p>
    <w:p w:rsidR="00602A32" w:rsidRPr="00AB06AB" w:rsidRDefault="00602A32" w:rsidP="00EA33AB">
      <w:pPr>
        <w:spacing w:after="0" w:line="240" w:lineRule="auto"/>
        <w:rPr>
          <w:rFonts w:ascii="Arial" w:eastAsia="Arial" w:hAnsi="Arial" w:cs="Arial"/>
          <w:strike/>
          <w:color w:val="000000"/>
          <w:sz w:val="24"/>
          <w:szCs w:val="24"/>
          <w:highlight w:val="red"/>
          <w:lang w:eastAsia="ar-SA"/>
        </w:rPr>
      </w:pPr>
    </w:p>
    <w:tbl>
      <w:tblPr>
        <w:tblStyle w:val="ae"/>
        <w:tblW w:w="0" w:type="auto"/>
        <w:tblLook w:val="04A0"/>
      </w:tblPr>
      <w:tblGrid>
        <w:gridCol w:w="817"/>
        <w:gridCol w:w="2330"/>
        <w:gridCol w:w="1977"/>
        <w:gridCol w:w="1977"/>
        <w:gridCol w:w="2221"/>
        <w:gridCol w:w="1382"/>
      </w:tblGrid>
      <w:tr w:rsidR="00F56442" w:rsidRPr="00AB06AB" w:rsidTr="003A325E">
        <w:tc>
          <w:tcPr>
            <w:tcW w:w="817" w:type="dxa"/>
          </w:tcPr>
          <w:p w:rsidR="00602A32" w:rsidRPr="00AB06AB" w:rsidRDefault="00F56442" w:rsidP="003A325E">
            <w:pPr>
              <w:spacing w:after="0" w:line="240" w:lineRule="auto"/>
              <w:jc w:val="center"/>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з/п</w:t>
            </w:r>
          </w:p>
        </w:tc>
        <w:tc>
          <w:tcPr>
            <w:tcW w:w="2330" w:type="dxa"/>
          </w:tcPr>
          <w:p w:rsidR="00602A32" w:rsidRPr="00AB06AB" w:rsidRDefault="00F56442" w:rsidP="003A325E">
            <w:pPr>
              <w:spacing w:after="0" w:line="240" w:lineRule="auto"/>
              <w:jc w:val="center"/>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 та адреса закладу освіти</w:t>
            </w:r>
          </w:p>
        </w:tc>
        <w:tc>
          <w:tcPr>
            <w:tcW w:w="1977" w:type="dxa"/>
          </w:tcPr>
          <w:p w:rsidR="00602A32" w:rsidRPr="00AB06AB" w:rsidRDefault="00F56442" w:rsidP="003A325E">
            <w:pPr>
              <w:spacing w:after="0" w:line="240" w:lineRule="auto"/>
              <w:jc w:val="center"/>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Державний номер автотранспорту</w:t>
            </w:r>
          </w:p>
        </w:tc>
        <w:tc>
          <w:tcPr>
            <w:tcW w:w="1977" w:type="dxa"/>
          </w:tcPr>
          <w:p w:rsidR="00602A32" w:rsidRPr="00AB06AB" w:rsidRDefault="00F56442" w:rsidP="003A325E">
            <w:pPr>
              <w:spacing w:after="0" w:line="240" w:lineRule="auto"/>
              <w:jc w:val="center"/>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Час прибуття автотранспорту до закладу</w:t>
            </w:r>
          </w:p>
        </w:tc>
        <w:tc>
          <w:tcPr>
            <w:tcW w:w="2221" w:type="dxa"/>
          </w:tcPr>
          <w:p w:rsidR="00602A32" w:rsidRPr="00AB06AB" w:rsidRDefault="00F56442" w:rsidP="003A325E">
            <w:pPr>
              <w:spacing w:after="0" w:line="240" w:lineRule="auto"/>
              <w:jc w:val="center"/>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Pr="00AB06AB" w:rsidRDefault="00F56442" w:rsidP="003A325E">
            <w:pPr>
              <w:spacing w:after="0" w:line="240" w:lineRule="auto"/>
              <w:jc w:val="center"/>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Час виїзду із закладу</w:t>
            </w:r>
          </w:p>
        </w:tc>
      </w:tr>
      <w:tr w:rsidR="00F56442" w:rsidRPr="00AB06AB" w:rsidTr="003A325E">
        <w:tc>
          <w:tcPr>
            <w:tcW w:w="817" w:type="dxa"/>
          </w:tcPr>
          <w:p w:rsidR="00602A32" w:rsidRPr="00AB06AB" w:rsidRDefault="00F5644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1</w:t>
            </w:r>
          </w:p>
        </w:tc>
        <w:tc>
          <w:tcPr>
            <w:tcW w:w="2330" w:type="dxa"/>
          </w:tcPr>
          <w:p w:rsidR="00602A32" w:rsidRPr="00AB06AB" w:rsidRDefault="00F5644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2</w:t>
            </w:r>
          </w:p>
        </w:tc>
        <w:tc>
          <w:tcPr>
            <w:tcW w:w="1977" w:type="dxa"/>
          </w:tcPr>
          <w:p w:rsidR="00602A32" w:rsidRPr="00AB06AB" w:rsidRDefault="00F5644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3</w:t>
            </w:r>
          </w:p>
        </w:tc>
        <w:tc>
          <w:tcPr>
            <w:tcW w:w="1977" w:type="dxa"/>
          </w:tcPr>
          <w:p w:rsidR="00602A32" w:rsidRPr="00AB06AB" w:rsidRDefault="00F5644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4</w:t>
            </w:r>
          </w:p>
        </w:tc>
        <w:tc>
          <w:tcPr>
            <w:tcW w:w="2221" w:type="dxa"/>
          </w:tcPr>
          <w:p w:rsidR="00602A32" w:rsidRPr="00AB06AB" w:rsidRDefault="00F5644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5</w:t>
            </w:r>
          </w:p>
        </w:tc>
        <w:tc>
          <w:tcPr>
            <w:tcW w:w="1382" w:type="dxa"/>
          </w:tcPr>
          <w:p w:rsidR="00602A32" w:rsidRPr="00AB06AB" w:rsidRDefault="00F56442" w:rsidP="00EA33AB">
            <w:pPr>
              <w:spacing w:after="0" w:line="240" w:lineRule="auto"/>
              <w:rPr>
                <w:rFonts w:ascii="Arial" w:eastAsia="Arial" w:hAnsi="Arial" w:cs="Arial"/>
                <w:strike/>
                <w:color w:val="000000"/>
                <w:sz w:val="24"/>
                <w:szCs w:val="24"/>
                <w:highlight w:val="red"/>
                <w:lang w:eastAsia="ar-SA"/>
              </w:rPr>
            </w:pPr>
            <w:r w:rsidRPr="00AB06AB">
              <w:rPr>
                <w:rFonts w:ascii="Arial" w:eastAsia="Arial" w:hAnsi="Arial" w:cs="Arial"/>
                <w:strike/>
                <w:color w:val="000000"/>
                <w:sz w:val="24"/>
                <w:szCs w:val="24"/>
                <w:highlight w:val="red"/>
                <w:lang w:eastAsia="ar-SA"/>
              </w:rPr>
              <w:t>6</w:t>
            </w:r>
          </w:p>
        </w:tc>
      </w:tr>
      <w:tr w:rsidR="00607167" w:rsidRPr="00AB06AB" w:rsidTr="003A325E">
        <w:tc>
          <w:tcPr>
            <w:tcW w:w="817" w:type="dxa"/>
          </w:tcPr>
          <w:p w:rsidR="00607167" w:rsidRPr="00AB06AB" w:rsidRDefault="00607167" w:rsidP="005D60B7">
            <w:pPr>
              <w:spacing w:after="0" w:line="240" w:lineRule="auto"/>
              <w:rPr>
                <w:rFonts w:ascii="Arial" w:eastAsia="Arial" w:hAnsi="Arial" w:cs="Arial"/>
                <w:strike/>
                <w:color w:val="000000"/>
                <w:sz w:val="24"/>
                <w:szCs w:val="24"/>
                <w:highlight w:val="red"/>
                <w:lang w:eastAsia="ar-SA"/>
              </w:rPr>
            </w:pPr>
          </w:p>
        </w:tc>
        <w:tc>
          <w:tcPr>
            <w:tcW w:w="2330" w:type="dxa"/>
          </w:tcPr>
          <w:p w:rsidR="00607167" w:rsidRPr="00AB06AB" w:rsidRDefault="00607167" w:rsidP="006528C6">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AB06AB" w:rsidTr="003A325E">
        <w:tc>
          <w:tcPr>
            <w:tcW w:w="817" w:type="dxa"/>
          </w:tcPr>
          <w:p w:rsidR="00607167" w:rsidRPr="00AB06AB" w:rsidRDefault="00607167">
            <w:pPr>
              <w:rPr>
                <w:strike/>
                <w:highlight w:val="red"/>
              </w:rPr>
            </w:pPr>
          </w:p>
        </w:tc>
        <w:tc>
          <w:tcPr>
            <w:tcW w:w="2330" w:type="dxa"/>
          </w:tcPr>
          <w:p w:rsidR="00607167" w:rsidRPr="00AB06AB" w:rsidRDefault="00607167" w:rsidP="006528C6">
            <w:pPr>
              <w:rPr>
                <w:strike/>
                <w:highlight w:val="red"/>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AB06AB" w:rsidRDefault="00607167" w:rsidP="00EA33AB">
            <w:pPr>
              <w:spacing w:after="0" w:line="240" w:lineRule="auto"/>
              <w:rPr>
                <w:rFonts w:ascii="Arial" w:eastAsia="Arial" w:hAnsi="Arial" w:cs="Arial"/>
                <w:strike/>
                <w:color w:val="000000"/>
                <w:sz w:val="24"/>
                <w:szCs w:val="24"/>
                <w:highlight w:val="red"/>
                <w:lang w:eastAsia="ar-SA"/>
              </w:rPr>
            </w:pPr>
          </w:p>
        </w:tc>
      </w:tr>
    </w:tbl>
    <w:p w:rsidR="00602A32" w:rsidRPr="00AB06AB" w:rsidRDefault="00602A32" w:rsidP="00EA33AB">
      <w:pPr>
        <w:spacing w:after="0" w:line="240" w:lineRule="auto"/>
        <w:rPr>
          <w:rFonts w:ascii="Arial" w:eastAsia="Arial" w:hAnsi="Arial" w:cs="Arial"/>
          <w:strike/>
          <w:color w:val="000000"/>
          <w:sz w:val="24"/>
          <w:szCs w:val="24"/>
          <w:highlight w:val="red"/>
          <w:lang w:eastAsia="ar-SA"/>
        </w:rPr>
      </w:pPr>
    </w:p>
    <w:p w:rsidR="00694A8D" w:rsidRPr="00AB06AB" w:rsidRDefault="00694A8D" w:rsidP="00694A8D">
      <w:pPr>
        <w:suppressAutoHyphens/>
        <w:jc w:val="center"/>
        <w:rPr>
          <w:rFonts w:ascii="Times New Roman" w:eastAsia="Times New Roman" w:hAnsi="Times New Roman"/>
          <w:strike/>
          <w:sz w:val="28"/>
          <w:szCs w:val="28"/>
          <w:highlight w:val="red"/>
          <w:vertAlign w:val="superscript"/>
          <w:lang w:eastAsia="ar-SA"/>
        </w:rPr>
      </w:pPr>
      <w:r w:rsidRPr="00AB06AB">
        <w:rPr>
          <w:rFonts w:ascii="Times New Roman" w:eastAsia="Times New Roman" w:hAnsi="Times New Roman"/>
          <w:strike/>
          <w:sz w:val="24"/>
          <w:szCs w:val="24"/>
          <w:highlight w:val="red"/>
          <w:lang w:eastAsia="ar-SA"/>
        </w:rPr>
        <w:t xml:space="preserve">_____________________________                                                                </w:t>
      </w:r>
      <w:r w:rsidRPr="00AB06AB">
        <w:rPr>
          <w:rFonts w:ascii="Times New Roman" w:eastAsia="Times New Roman" w:hAnsi="Times New Roman"/>
          <w:b/>
          <w:strike/>
          <w:sz w:val="24"/>
          <w:szCs w:val="24"/>
          <w:highlight w:val="red"/>
          <w:lang w:eastAsia="ar-SA"/>
        </w:rPr>
        <w:t>_________________</w:t>
      </w:r>
    </w:p>
    <w:p w:rsidR="00694A8D" w:rsidRPr="00AB06AB"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AB06AB">
        <w:rPr>
          <w:rFonts w:ascii="Times New Roman" w:eastAsia="Times New Roman" w:hAnsi="Times New Roman"/>
          <w:strike/>
          <w:sz w:val="28"/>
          <w:szCs w:val="28"/>
          <w:highlight w:val="red"/>
          <w:vertAlign w:val="superscript"/>
          <w:lang w:eastAsia="ar-SA"/>
        </w:rPr>
        <w:t xml:space="preserve">                 (посада, прізвище, ініціали                                                                                                                  (підпис)</w:t>
      </w:r>
    </w:p>
    <w:p w:rsidR="00694A8D" w:rsidRPr="00AB06AB"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AB06AB">
        <w:rPr>
          <w:rFonts w:ascii="Times New Roman" w:eastAsia="Times New Roman" w:hAnsi="Times New Roman"/>
          <w:strike/>
          <w:sz w:val="28"/>
          <w:szCs w:val="28"/>
          <w:highlight w:val="red"/>
          <w:vertAlign w:val="superscript"/>
          <w:lang w:eastAsia="ar-SA"/>
        </w:rPr>
        <w:t xml:space="preserve">             уповноваженої особи Учасника)</w:t>
      </w:r>
      <w:r w:rsidRPr="00AB06AB">
        <w:rPr>
          <w:rFonts w:ascii="Times New Roman" w:eastAsia="Times New Roman" w:hAnsi="Times New Roman"/>
          <w:strike/>
          <w:sz w:val="28"/>
          <w:szCs w:val="28"/>
          <w:highlight w:val="red"/>
          <w:vertAlign w:val="superscript"/>
          <w:lang w:eastAsia="ar-SA"/>
        </w:rPr>
        <w:tab/>
      </w:r>
      <w:r w:rsidRPr="00AB06AB">
        <w:rPr>
          <w:rFonts w:ascii="Times New Roman" w:eastAsia="Times New Roman" w:hAnsi="Times New Roman"/>
          <w:strike/>
          <w:sz w:val="28"/>
          <w:szCs w:val="28"/>
          <w:highlight w:val="red"/>
          <w:vertAlign w:val="superscript"/>
          <w:lang w:eastAsia="ar-SA"/>
        </w:rPr>
        <w:tab/>
      </w:r>
      <w:r w:rsidRPr="00AB06AB">
        <w:rPr>
          <w:rFonts w:ascii="Times New Roman" w:eastAsia="Times New Roman" w:hAnsi="Times New Roman"/>
          <w:strike/>
          <w:sz w:val="28"/>
          <w:szCs w:val="28"/>
          <w:highlight w:val="red"/>
          <w:vertAlign w:val="superscript"/>
          <w:lang w:eastAsia="ar-SA"/>
        </w:rPr>
        <w:tab/>
        <w:t>м. п. (у випадку наявності)</w:t>
      </w:r>
    </w:p>
    <w:p w:rsidR="00694A8D" w:rsidRPr="00AB06AB" w:rsidRDefault="00694A8D" w:rsidP="00694A8D">
      <w:pPr>
        <w:suppressAutoHyphens/>
        <w:spacing w:after="120"/>
        <w:ind w:left="283"/>
        <w:rPr>
          <w:rFonts w:ascii="Times New Roman" w:hAnsi="Times New Roman"/>
          <w:strike/>
          <w:sz w:val="24"/>
          <w:szCs w:val="24"/>
          <w:u w:val="single"/>
          <w:lang w:eastAsia="ar-SA"/>
        </w:rPr>
      </w:pPr>
      <w:r w:rsidRPr="00AB06AB">
        <w:rPr>
          <w:rFonts w:ascii="Times New Roman" w:hAnsi="Times New Roman"/>
          <w:strike/>
          <w:sz w:val="24"/>
          <w:szCs w:val="24"/>
          <w:highlight w:val="red"/>
          <w:u w:val="single"/>
          <w:lang w:eastAsia="ar-SA"/>
        </w:rPr>
        <w:lastRenderedPageBreak/>
        <w:t xml:space="preserve">*постачання товару до закладів освіти має відбуватися до </w:t>
      </w:r>
      <w:r w:rsidRPr="00AB06AB">
        <w:rPr>
          <w:rFonts w:ascii="Times New Roman" w:hAnsi="Times New Roman"/>
          <w:strike/>
          <w:color w:val="FF0000"/>
          <w:sz w:val="24"/>
          <w:szCs w:val="24"/>
          <w:highlight w:val="red"/>
          <w:u w:val="single"/>
          <w:lang w:eastAsia="ar-SA"/>
        </w:rPr>
        <w:t>11.00 годин дня</w:t>
      </w:r>
      <w:r w:rsidRPr="00AB06AB">
        <w:rPr>
          <w:rFonts w:ascii="Times New Roman" w:hAnsi="Times New Roman"/>
          <w:strike/>
          <w:sz w:val="24"/>
          <w:szCs w:val="24"/>
          <w:highlight w:val="red"/>
          <w:u w:val="single"/>
          <w:lang w:eastAsia="ar-SA"/>
        </w:rPr>
        <w:t>, відповідно до додатку 6 тендерної документації</w:t>
      </w:r>
    </w:p>
    <w:p w:rsidR="00694A8D" w:rsidRPr="00AB06AB" w:rsidRDefault="00694A8D" w:rsidP="00EA33AB">
      <w:pPr>
        <w:spacing w:after="0" w:line="240" w:lineRule="auto"/>
        <w:rPr>
          <w:rFonts w:ascii="Arial" w:eastAsia="Arial" w:hAnsi="Arial" w:cs="Arial"/>
          <w:strike/>
          <w:color w:val="000000"/>
          <w:sz w:val="18"/>
          <w:szCs w:val="18"/>
          <w:lang w:eastAsia="ar-SA"/>
        </w:rPr>
      </w:pPr>
    </w:p>
    <w:sectPr w:rsidR="00694A8D" w:rsidRPr="00AB06AB"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7C" w:rsidRDefault="00941E7C" w:rsidP="00C420E7">
      <w:pPr>
        <w:spacing w:after="0" w:line="240" w:lineRule="auto"/>
      </w:pPr>
      <w:r>
        <w:separator/>
      </w:r>
    </w:p>
  </w:endnote>
  <w:endnote w:type="continuationSeparator" w:id="1">
    <w:p w:rsidR="00941E7C" w:rsidRDefault="00941E7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7C" w:rsidRDefault="00941E7C" w:rsidP="00C420E7">
      <w:pPr>
        <w:spacing w:after="0" w:line="240" w:lineRule="auto"/>
      </w:pPr>
      <w:r>
        <w:separator/>
      </w:r>
    </w:p>
  </w:footnote>
  <w:footnote w:type="continuationSeparator" w:id="1">
    <w:p w:rsidR="00941E7C" w:rsidRDefault="00941E7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D" w:rsidRDefault="009B25CC">
    <w:pPr>
      <w:pStyle w:val="a4"/>
      <w:shd w:val="clear" w:color="auto" w:fill="FFFFFF"/>
      <w:jc w:val="right"/>
    </w:pPr>
    <w:fldSimple w:instr=" PAGE ">
      <w:r w:rsidR="00AB06AB">
        <w:rPr>
          <w:noProof/>
        </w:rPr>
        <w:t>47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D" w:rsidRPr="00337DC1" w:rsidRDefault="009B25CC" w:rsidP="00082336">
    <w:pPr>
      <w:pStyle w:val="a4"/>
      <w:jc w:val="center"/>
    </w:pPr>
    <w:r w:rsidRPr="00337DC1">
      <w:rPr>
        <w:rFonts w:ascii="Times New Roman" w:hAnsi="Times New Roman"/>
      </w:rPr>
      <w:fldChar w:fldCharType="begin"/>
    </w:r>
    <w:r w:rsidR="0099617D" w:rsidRPr="00337DC1">
      <w:rPr>
        <w:rFonts w:ascii="Times New Roman" w:hAnsi="Times New Roman"/>
      </w:rPr>
      <w:instrText>PAGE   \* MERGEFORMAT</w:instrText>
    </w:r>
    <w:r w:rsidRPr="00337DC1">
      <w:rPr>
        <w:rFonts w:ascii="Times New Roman" w:hAnsi="Times New Roman"/>
      </w:rPr>
      <w:fldChar w:fldCharType="separate"/>
    </w:r>
    <w:r w:rsidR="00AB06AB" w:rsidRPr="00AB06AB">
      <w:rPr>
        <w:rFonts w:ascii="Times New Roman" w:hAnsi="Times New Roman"/>
        <w:noProof/>
        <w:lang w:val="ru-RU"/>
      </w:rPr>
      <w:t>50</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E758C"/>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371F"/>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0F5C"/>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3C42"/>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76F02"/>
    <w:rsid w:val="00881BB0"/>
    <w:rsid w:val="0088219F"/>
    <w:rsid w:val="00882A72"/>
    <w:rsid w:val="008832C0"/>
    <w:rsid w:val="00883312"/>
    <w:rsid w:val="00887627"/>
    <w:rsid w:val="00891EB6"/>
    <w:rsid w:val="008927A8"/>
    <w:rsid w:val="008945E4"/>
    <w:rsid w:val="0089771F"/>
    <w:rsid w:val="00897B2B"/>
    <w:rsid w:val="008A2357"/>
    <w:rsid w:val="008A4201"/>
    <w:rsid w:val="008A4970"/>
    <w:rsid w:val="008A6BA5"/>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1E7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64BC"/>
    <w:rsid w:val="009B25C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06AB"/>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5C2"/>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22FD"/>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4FE0"/>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897B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50</Pages>
  <Words>20812</Words>
  <Characters>118631</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139165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93</cp:revision>
  <cp:lastPrinted>2020-07-24T09:21:00Z</cp:lastPrinted>
  <dcterms:created xsi:type="dcterms:W3CDTF">2022-10-05T12:50:00Z</dcterms:created>
  <dcterms:modified xsi:type="dcterms:W3CDTF">2023-03-30T08:30:00Z</dcterms:modified>
</cp:coreProperties>
</file>