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C3583C">
                          <w:rPr>
                            <w:rFonts w:ascii="Times New Roman" w:hAnsi="Times New Roman" w:cs="Times New Roman"/>
                            <w:b/>
                            <w:bCs/>
                            <w:noProof/>
                            <w:sz w:val="24"/>
                          </w:rPr>
                          <w:t>05.04</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807748" w:rsidRPr="00807748">
              <w:rPr>
                <w:rFonts w:ascii="Times New Roman" w:hAnsi="Times New Roman"/>
                <w:b/>
                <w:sz w:val="28"/>
                <w:szCs w:val="28"/>
              </w:rPr>
              <w:t>15220000-6 - Риба, рибне ф</w:t>
            </w:r>
            <w:r w:rsidR="00807748">
              <w:rPr>
                <w:rFonts w:ascii="Times New Roman" w:hAnsi="Times New Roman"/>
                <w:b/>
                <w:sz w:val="28"/>
                <w:szCs w:val="28"/>
              </w:rPr>
              <w:t>іле та інше м’ясо риби морожені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C3583C" w:rsidP="00E97B43">
            <w:pPr>
              <w:spacing w:after="0" w:line="240" w:lineRule="auto"/>
              <w:jc w:val="center"/>
              <w:rPr>
                <w:rFonts w:ascii="Times New Roman" w:eastAsia="Times New Roman" w:hAnsi="Times New Roman"/>
                <w:b/>
                <w:bCs/>
                <w:sz w:val="24"/>
                <w:szCs w:val="24"/>
              </w:rPr>
            </w:pPr>
            <w:r>
              <w:rPr>
                <w:rFonts w:ascii="Times New Roman" w:hAnsi="Times New Roman"/>
                <w:b/>
                <w:sz w:val="28"/>
                <w:szCs w:val="28"/>
              </w:rPr>
              <w:t xml:space="preserve">Філе </w:t>
            </w:r>
            <w:proofErr w:type="spellStart"/>
            <w:r>
              <w:rPr>
                <w:rFonts w:ascii="Times New Roman" w:hAnsi="Times New Roman"/>
                <w:b/>
                <w:sz w:val="28"/>
                <w:szCs w:val="28"/>
              </w:rPr>
              <w:t>пангасіуса</w:t>
            </w:r>
            <w:proofErr w:type="spellEnd"/>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C3583C">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807748" w:rsidRPr="00807748">
              <w:rPr>
                <w:rFonts w:ascii="Times New Roman" w:hAnsi="Times New Roman"/>
                <w:b/>
                <w:sz w:val="24"/>
                <w:szCs w:val="24"/>
              </w:rPr>
              <w:t>15220000-6 - Риба, рибне ф</w:t>
            </w:r>
            <w:r w:rsidR="00807748">
              <w:rPr>
                <w:rFonts w:ascii="Times New Roman" w:hAnsi="Times New Roman"/>
                <w:b/>
                <w:sz w:val="24"/>
                <w:szCs w:val="24"/>
              </w:rPr>
              <w:t>іле та інше м’ясо риби морожені</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C3583C">
              <w:rPr>
                <w:rFonts w:ascii="Times New Roman" w:hAnsi="Times New Roman"/>
                <w:b/>
                <w:sz w:val="24"/>
                <w:szCs w:val="24"/>
              </w:rPr>
              <w:t xml:space="preserve">Філе </w:t>
            </w:r>
            <w:proofErr w:type="spellStart"/>
            <w:r w:rsidR="00C3583C">
              <w:rPr>
                <w:rFonts w:ascii="Times New Roman" w:hAnsi="Times New Roman"/>
                <w:b/>
                <w:sz w:val="24"/>
                <w:szCs w:val="24"/>
              </w:rPr>
              <w:t>пангасіуса</w:t>
            </w:r>
            <w:proofErr w:type="spellEnd"/>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3583C">
              <w:rPr>
                <w:rFonts w:ascii="Times New Roman" w:eastAsia="Times New Roman" w:hAnsi="Times New Roman" w:cs="Times New Roman"/>
                <w:b/>
                <w:color w:val="FF0000"/>
                <w:sz w:val="24"/>
                <w:szCs w:val="24"/>
                <w:highlight w:val="yellow"/>
              </w:rPr>
              <w:t>13.04</w:t>
            </w:r>
            <w:bookmarkStart w:id="14" w:name="_GoBack"/>
            <w:bookmarkEnd w:id="14"/>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40" w:rsidRDefault="00312140">
      <w:pPr>
        <w:spacing w:after="0" w:line="240" w:lineRule="auto"/>
      </w:pPr>
      <w:r>
        <w:separator/>
      </w:r>
    </w:p>
  </w:endnote>
  <w:endnote w:type="continuationSeparator" w:id="0">
    <w:p w:rsidR="00312140" w:rsidRDefault="0031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583C">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40" w:rsidRDefault="00312140">
      <w:pPr>
        <w:spacing w:after="0" w:line="240" w:lineRule="auto"/>
      </w:pPr>
      <w:r>
        <w:separator/>
      </w:r>
    </w:p>
  </w:footnote>
  <w:footnote w:type="continuationSeparator" w:id="0">
    <w:p w:rsidR="00312140" w:rsidRDefault="00312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14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07748"/>
    <w:rsid w:val="008128D9"/>
    <w:rsid w:val="0081684D"/>
    <w:rsid w:val="008265C6"/>
    <w:rsid w:val="008406F0"/>
    <w:rsid w:val="0084196A"/>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153CF"/>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3583C"/>
    <w:rsid w:val="00C726A2"/>
    <w:rsid w:val="00C823BE"/>
    <w:rsid w:val="00CA380C"/>
    <w:rsid w:val="00CD6326"/>
    <w:rsid w:val="00CF68C4"/>
    <w:rsid w:val="00D2115E"/>
    <w:rsid w:val="00D243BC"/>
    <w:rsid w:val="00D3518F"/>
    <w:rsid w:val="00D82467"/>
    <w:rsid w:val="00D96591"/>
    <w:rsid w:val="00DA693E"/>
    <w:rsid w:val="00DB721F"/>
    <w:rsid w:val="00DD0E28"/>
    <w:rsid w:val="00DE1748"/>
    <w:rsid w:val="00DE70B2"/>
    <w:rsid w:val="00E07652"/>
    <w:rsid w:val="00E232BB"/>
    <w:rsid w:val="00E266F5"/>
    <w:rsid w:val="00E26916"/>
    <w:rsid w:val="00E64CD9"/>
    <w:rsid w:val="00E81B2F"/>
    <w:rsid w:val="00E82430"/>
    <w:rsid w:val="00E9659A"/>
    <w:rsid w:val="00E97B43"/>
    <w:rsid w:val="00EC7EFD"/>
    <w:rsid w:val="00ED1648"/>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36C7C0-F4BF-426B-93B8-DD56E690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41953</Words>
  <Characters>23914</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2024-03-22T07:58:00Z</dcterms:created>
  <dcterms:modified xsi:type="dcterms:W3CDTF">2024-04-05T08:39:00Z</dcterms:modified>
</cp:coreProperties>
</file>