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B3" w:rsidRPr="00224BC8" w:rsidRDefault="002568B3" w:rsidP="001044CF">
      <w:pPr>
        <w:rPr>
          <w:u w:val="single"/>
        </w:rPr>
      </w:pPr>
    </w:p>
    <w:tbl>
      <w:tblPr>
        <w:tblW w:w="0" w:type="auto"/>
        <w:tblInd w:w="-34" w:type="dxa"/>
        <w:tblLook w:val="01E0"/>
      </w:tblPr>
      <w:tblGrid>
        <w:gridCol w:w="4216"/>
        <w:gridCol w:w="5180"/>
        <w:gridCol w:w="90"/>
      </w:tblGrid>
      <w:tr w:rsidR="002568B3" w:rsidRPr="00224BC8" w:rsidTr="006B7EE1">
        <w:trPr>
          <w:trHeight w:val="932"/>
        </w:trPr>
        <w:tc>
          <w:tcPr>
            <w:tcW w:w="9486" w:type="dxa"/>
            <w:gridSpan w:val="3"/>
          </w:tcPr>
          <w:p w:rsidR="002568B3" w:rsidRPr="00224BC8" w:rsidRDefault="002568B3" w:rsidP="003669BA">
            <w:pPr>
              <w:jc w:val="center"/>
              <w:rPr>
                <w:b/>
                <w:bCs/>
                <w:caps/>
                <w:sz w:val="32"/>
                <w:szCs w:val="32"/>
              </w:rPr>
            </w:pPr>
            <w:r w:rsidRPr="00224BC8">
              <w:rPr>
                <w:b/>
                <w:bCs/>
                <w:caps/>
                <w:sz w:val="32"/>
                <w:szCs w:val="32"/>
              </w:rPr>
              <w:t xml:space="preserve">Комунальне підприємство </w:t>
            </w:r>
          </w:p>
          <w:p w:rsidR="002568B3" w:rsidRPr="00224BC8" w:rsidRDefault="002568B3" w:rsidP="003669BA">
            <w:pPr>
              <w:jc w:val="center"/>
              <w:rPr>
                <w:b/>
                <w:bCs/>
                <w:caps/>
                <w:sz w:val="32"/>
                <w:szCs w:val="32"/>
              </w:rPr>
            </w:pPr>
            <w:r w:rsidRPr="00224BC8">
              <w:rPr>
                <w:b/>
                <w:bCs/>
                <w:caps/>
                <w:sz w:val="32"/>
                <w:szCs w:val="32"/>
              </w:rPr>
              <w:t xml:space="preserve">«Міськоформлення» </w:t>
            </w:r>
          </w:p>
          <w:p w:rsidR="002568B3" w:rsidRPr="00224BC8" w:rsidRDefault="002568B3" w:rsidP="003669BA">
            <w:pPr>
              <w:jc w:val="center"/>
              <w:rPr>
                <w:b/>
                <w:bCs/>
                <w:caps/>
                <w:sz w:val="32"/>
                <w:szCs w:val="32"/>
              </w:rPr>
            </w:pPr>
            <w:r w:rsidRPr="00224BC8">
              <w:rPr>
                <w:b/>
                <w:bCs/>
                <w:caps/>
                <w:sz w:val="32"/>
                <w:szCs w:val="32"/>
              </w:rPr>
              <w:t xml:space="preserve">Кременчуцької міської ради </w:t>
            </w:r>
          </w:p>
          <w:p w:rsidR="002568B3" w:rsidRPr="00224BC8" w:rsidRDefault="002568B3" w:rsidP="003669BA">
            <w:pPr>
              <w:jc w:val="center"/>
              <w:rPr>
                <w:b/>
                <w:bCs/>
                <w:caps/>
                <w:sz w:val="32"/>
                <w:szCs w:val="32"/>
              </w:rPr>
            </w:pPr>
            <w:r w:rsidRPr="00224BC8">
              <w:rPr>
                <w:b/>
                <w:bCs/>
                <w:caps/>
                <w:sz w:val="32"/>
                <w:szCs w:val="32"/>
              </w:rPr>
              <w:t>кременчуцького району</w:t>
            </w:r>
          </w:p>
          <w:p w:rsidR="002568B3" w:rsidRPr="00224BC8" w:rsidRDefault="002568B3" w:rsidP="003669BA">
            <w:pPr>
              <w:jc w:val="center"/>
              <w:rPr>
                <w:b/>
                <w:bCs/>
                <w:caps/>
                <w:sz w:val="32"/>
                <w:szCs w:val="32"/>
              </w:rPr>
            </w:pPr>
            <w:r w:rsidRPr="00224BC8">
              <w:rPr>
                <w:b/>
                <w:bCs/>
                <w:caps/>
                <w:sz w:val="32"/>
                <w:szCs w:val="32"/>
              </w:rPr>
              <w:t>полтавської області</w:t>
            </w:r>
          </w:p>
        </w:tc>
      </w:tr>
      <w:tr w:rsidR="002568B3" w:rsidRPr="00224BC8" w:rsidTr="006B7EE1">
        <w:trPr>
          <w:trHeight w:val="571"/>
        </w:trPr>
        <w:tc>
          <w:tcPr>
            <w:tcW w:w="4216" w:type="dxa"/>
            <w:vMerge w:val="restart"/>
          </w:tcPr>
          <w:p w:rsidR="002568B3" w:rsidRPr="00224BC8" w:rsidRDefault="002568B3" w:rsidP="003669BA"/>
        </w:tc>
        <w:tc>
          <w:tcPr>
            <w:tcW w:w="5270" w:type="dxa"/>
            <w:gridSpan w:val="2"/>
            <w:vAlign w:val="bottom"/>
          </w:tcPr>
          <w:p w:rsidR="002568B3" w:rsidRPr="00224BC8" w:rsidRDefault="002568B3" w:rsidP="003669BA">
            <w:pPr>
              <w:jc w:val="center"/>
            </w:pPr>
            <w:r w:rsidRPr="00224BC8">
              <w:rPr>
                <w:b/>
                <w:bCs/>
              </w:rPr>
              <w:t>«ЗАТВЕРДЖЕНО»</w:t>
            </w:r>
          </w:p>
        </w:tc>
      </w:tr>
      <w:tr w:rsidR="002568B3" w:rsidRPr="00224BC8" w:rsidTr="006B7EE1">
        <w:trPr>
          <w:trHeight w:val="805"/>
        </w:trPr>
        <w:tc>
          <w:tcPr>
            <w:tcW w:w="4216" w:type="dxa"/>
            <w:vMerge/>
          </w:tcPr>
          <w:p w:rsidR="002568B3" w:rsidRPr="00224BC8" w:rsidRDefault="002568B3" w:rsidP="003669BA"/>
        </w:tc>
        <w:tc>
          <w:tcPr>
            <w:tcW w:w="5270" w:type="dxa"/>
            <w:gridSpan w:val="2"/>
          </w:tcPr>
          <w:p w:rsidR="002568B3" w:rsidRPr="00224BC8" w:rsidRDefault="002568B3" w:rsidP="003669BA">
            <w:pPr>
              <w:jc w:val="center"/>
            </w:pPr>
          </w:p>
        </w:tc>
      </w:tr>
      <w:tr w:rsidR="002568B3" w:rsidRPr="00224BC8" w:rsidTr="006B7EE1">
        <w:trPr>
          <w:trHeight w:val="164"/>
        </w:trPr>
        <w:tc>
          <w:tcPr>
            <w:tcW w:w="4216" w:type="dxa"/>
            <w:vMerge/>
          </w:tcPr>
          <w:p w:rsidR="002568B3" w:rsidRPr="00224BC8" w:rsidRDefault="002568B3" w:rsidP="003669BA"/>
        </w:tc>
        <w:tc>
          <w:tcPr>
            <w:tcW w:w="5270" w:type="dxa"/>
            <w:gridSpan w:val="2"/>
          </w:tcPr>
          <w:p w:rsidR="002568B3" w:rsidRPr="00224BC8" w:rsidRDefault="002568B3" w:rsidP="003669BA">
            <w:pPr>
              <w:jc w:val="right"/>
            </w:pPr>
            <w:r w:rsidRPr="00224BC8">
              <w:t xml:space="preserve">___________________ / </w:t>
            </w:r>
            <w:r w:rsidRPr="004E64D7">
              <w:t>Плескач Л.В.</w:t>
            </w:r>
          </w:p>
        </w:tc>
      </w:tr>
      <w:tr w:rsidR="002568B3" w:rsidRPr="00224BC8" w:rsidTr="006B7EE1">
        <w:trPr>
          <w:trHeight w:val="257"/>
        </w:trPr>
        <w:tc>
          <w:tcPr>
            <w:tcW w:w="4216" w:type="dxa"/>
            <w:vMerge/>
          </w:tcPr>
          <w:p w:rsidR="002568B3" w:rsidRPr="00224BC8" w:rsidRDefault="002568B3" w:rsidP="003669BA"/>
        </w:tc>
        <w:tc>
          <w:tcPr>
            <w:tcW w:w="5270" w:type="dxa"/>
            <w:gridSpan w:val="2"/>
          </w:tcPr>
          <w:p w:rsidR="002568B3" w:rsidRPr="00224BC8" w:rsidRDefault="002568B3" w:rsidP="003669BA">
            <w:pPr>
              <w:jc w:val="center"/>
            </w:pPr>
            <w:r w:rsidRPr="00224BC8">
              <w:t>м.п.</w:t>
            </w:r>
          </w:p>
        </w:tc>
      </w:tr>
      <w:tr w:rsidR="002568B3" w:rsidRPr="00224BC8" w:rsidTr="006B7EE1">
        <w:trPr>
          <w:trHeight w:val="1316"/>
        </w:trPr>
        <w:tc>
          <w:tcPr>
            <w:tcW w:w="4216" w:type="dxa"/>
            <w:vMerge/>
          </w:tcPr>
          <w:p w:rsidR="002568B3" w:rsidRPr="00224BC8" w:rsidRDefault="002568B3" w:rsidP="003669BA"/>
        </w:tc>
        <w:tc>
          <w:tcPr>
            <w:tcW w:w="5270" w:type="dxa"/>
            <w:gridSpan w:val="2"/>
          </w:tcPr>
          <w:p w:rsidR="002568B3" w:rsidRPr="00224BC8" w:rsidRDefault="002568B3" w:rsidP="003669BA">
            <w:pPr>
              <w:jc w:val="center"/>
            </w:pPr>
            <w:r w:rsidRPr="00224BC8">
              <w:t>Рішенням уповноваженої особи комунального підприємства «Міськоформлення» Кременчуцької міської ради Кременчуцького району Полтавської області</w:t>
            </w:r>
          </w:p>
          <w:p w:rsidR="002568B3" w:rsidRPr="00224BC8" w:rsidRDefault="002568B3" w:rsidP="00EF64FE">
            <w:pPr>
              <w:jc w:val="center"/>
            </w:pPr>
            <w:r w:rsidRPr="00626959">
              <w:t>від 20.07.2021 № 19</w:t>
            </w:r>
          </w:p>
        </w:tc>
      </w:tr>
      <w:tr w:rsidR="002568B3" w:rsidRPr="00224BC8" w:rsidTr="006B7EE1">
        <w:trPr>
          <w:trHeight w:val="666"/>
        </w:trPr>
        <w:tc>
          <w:tcPr>
            <w:tcW w:w="9486" w:type="dxa"/>
            <w:gridSpan w:val="3"/>
          </w:tcPr>
          <w:p w:rsidR="002568B3" w:rsidRPr="00224BC8" w:rsidRDefault="002568B3" w:rsidP="003669BA"/>
        </w:tc>
      </w:tr>
      <w:tr w:rsidR="002568B3" w:rsidRPr="00224BC8" w:rsidTr="006B7EE1">
        <w:trPr>
          <w:trHeight w:val="257"/>
        </w:trPr>
        <w:tc>
          <w:tcPr>
            <w:tcW w:w="9486" w:type="dxa"/>
            <w:gridSpan w:val="3"/>
          </w:tcPr>
          <w:p w:rsidR="002568B3" w:rsidRPr="00224BC8" w:rsidRDefault="002568B3" w:rsidP="003669BA"/>
        </w:tc>
      </w:tr>
      <w:tr w:rsidR="002568B3" w:rsidRPr="00224BC8" w:rsidTr="006B7EE1">
        <w:trPr>
          <w:trHeight w:val="615"/>
        </w:trPr>
        <w:tc>
          <w:tcPr>
            <w:tcW w:w="9486" w:type="dxa"/>
            <w:gridSpan w:val="3"/>
          </w:tcPr>
          <w:p w:rsidR="002568B3" w:rsidRPr="00224BC8" w:rsidRDefault="002568B3" w:rsidP="003669BA">
            <w:pPr>
              <w:spacing w:before="120" w:after="120"/>
              <w:jc w:val="center"/>
              <w:rPr>
                <w:b/>
                <w:bCs/>
                <w:sz w:val="48"/>
                <w:szCs w:val="48"/>
              </w:rPr>
            </w:pPr>
            <w:r w:rsidRPr="00224BC8">
              <w:rPr>
                <w:b/>
                <w:bCs/>
                <w:sz w:val="48"/>
                <w:szCs w:val="48"/>
              </w:rPr>
              <w:t>ТЕНДЕРНА ДОКУМЕНТАЦІЯ</w:t>
            </w:r>
          </w:p>
          <w:p w:rsidR="002568B3" w:rsidRPr="00224BC8" w:rsidRDefault="002568B3" w:rsidP="003669BA">
            <w:pPr>
              <w:jc w:val="center"/>
              <w:rPr>
                <w:b/>
                <w:bCs/>
                <w:snapToGrid w:val="0"/>
                <w:sz w:val="28"/>
                <w:szCs w:val="28"/>
              </w:rPr>
            </w:pPr>
          </w:p>
          <w:p w:rsidR="002568B3" w:rsidRPr="00224BC8" w:rsidRDefault="002568B3" w:rsidP="003669BA">
            <w:pPr>
              <w:jc w:val="center"/>
              <w:rPr>
                <w:b/>
                <w:bCs/>
                <w:snapToGrid w:val="0"/>
                <w:sz w:val="28"/>
                <w:szCs w:val="28"/>
              </w:rPr>
            </w:pPr>
            <w:r w:rsidRPr="00224BC8">
              <w:rPr>
                <w:b/>
                <w:bCs/>
                <w:snapToGrid w:val="0"/>
                <w:sz w:val="28"/>
                <w:szCs w:val="28"/>
              </w:rPr>
              <w:t>щодо проведення процедури відкритих торгів на закупівлю послуги за предметом</w:t>
            </w:r>
          </w:p>
        </w:tc>
      </w:tr>
      <w:tr w:rsidR="002568B3" w:rsidRPr="00224BC8" w:rsidTr="006B7EE1">
        <w:trPr>
          <w:trHeight w:val="721"/>
        </w:trPr>
        <w:tc>
          <w:tcPr>
            <w:tcW w:w="9486" w:type="dxa"/>
            <w:gridSpan w:val="3"/>
          </w:tcPr>
          <w:p w:rsidR="002568B3" w:rsidRPr="00224BC8" w:rsidRDefault="002568B3" w:rsidP="006B7EE1">
            <w:pPr>
              <w:jc w:val="center"/>
            </w:pPr>
            <w:r w:rsidRPr="00224BC8">
              <w:t xml:space="preserve">згідно коду ДК 021:2015 (CPV 2008) – 72230000-6 – </w:t>
            </w:r>
          </w:p>
          <w:p w:rsidR="002568B3" w:rsidRPr="00224BC8" w:rsidRDefault="002568B3" w:rsidP="006B7EE1">
            <w:pPr>
              <w:jc w:val="center"/>
            </w:pPr>
            <w:r w:rsidRPr="00224BC8">
              <w:t>Послуги з розробки програмного забезпечення на замовлення</w:t>
            </w:r>
          </w:p>
          <w:p w:rsidR="002568B3" w:rsidRPr="00224BC8" w:rsidRDefault="002568B3" w:rsidP="003669BA">
            <w:pPr>
              <w:jc w:val="center"/>
            </w:pPr>
          </w:p>
          <w:p w:rsidR="002568B3" w:rsidRPr="00224BC8" w:rsidRDefault="002568B3" w:rsidP="003669BA">
            <w:pPr>
              <w:jc w:val="center"/>
            </w:pPr>
          </w:p>
        </w:tc>
      </w:tr>
      <w:tr w:rsidR="002568B3" w:rsidRPr="00224BC8" w:rsidTr="006B7EE1">
        <w:trPr>
          <w:trHeight w:val="679"/>
        </w:trPr>
        <w:tc>
          <w:tcPr>
            <w:tcW w:w="9486" w:type="dxa"/>
            <w:gridSpan w:val="3"/>
            <w:vAlign w:val="center"/>
          </w:tcPr>
          <w:p w:rsidR="002568B3" w:rsidRPr="00224BC8" w:rsidRDefault="002568B3" w:rsidP="003669BA">
            <w:pPr>
              <w:ind w:left="-216"/>
              <w:jc w:val="center"/>
              <w:rPr>
                <w:sz w:val="28"/>
                <w:szCs w:val="28"/>
              </w:rPr>
            </w:pPr>
          </w:p>
        </w:tc>
      </w:tr>
      <w:tr w:rsidR="002568B3" w:rsidRPr="00224BC8" w:rsidTr="006B7EE1">
        <w:trPr>
          <w:trHeight w:val="1180"/>
        </w:trPr>
        <w:tc>
          <w:tcPr>
            <w:tcW w:w="9486" w:type="dxa"/>
            <w:gridSpan w:val="3"/>
          </w:tcPr>
          <w:p w:rsidR="002568B3" w:rsidRDefault="002568B3" w:rsidP="001C1F21">
            <w:pPr>
              <w:jc w:val="center"/>
              <w:rPr>
                <w:b/>
                <w:sz w:val="28"/>
                <w:szCs w:val="28"/>
              </w:rPr>
            </w:pPr>
            <w:r w:rsidRPr="00224BC8">
              <w:rPr>
                <w:b/>
                <w:sz w:val="28"/>
                <w:szCs w:val="28"/>
              </w:rPr>
              <w:t xml:space="preserve">Розробка програмного забезпечення для реєстраційної системи електронного обміну документів </w:t>
            </w:r>
          </w:p>
          <w:p w:rsidR="002568B3" w:rsidRPr="00224BC8" w:rsidRDefault="002568B3" w:rsidP="001C1F21">
            <w:pPr>
              <w:jc w:val="center"/>
              <w:rPr>
                <w:b/>
                <w:sz w:val="28"/>
                <w:szCs w:val="28"/>
              </w:rPr>
            </w:pPr>
            <w:r w:rsidRPr="00CC30C7">
              <w:rPr>
                <w:b/>
                <w:sz w:val="28"/>
                <w:szCs w:val="28"/>
              </w:rPr>
              <w:t>Управлінської геоінформаційної системи</w:t>
            </w:r>
          </w:p>
          <w:p w:rsidR="002568B3" w:rsidRPr="00224BC8" w:rsidRDefault="002568B3" w:rsidP="001C1F21">
            <w:pPr>
              <w:jc w:val="center"/>
              <w:rPr>
                <w:b/>
                <w:sz w:val="28"/>
                <w:szCs w:val="28"/>
              </w:rPr>
            </w:pPr>
            <w:r w:rsidRPr="00224BC8">
              <w:rPr>
                <w:b/>
                <w:sz w:val="28"/>
                <w:szCs w:val="28"/>
              </w:rPr>
              <w:t xml:space="preserve">на 2500 (дві тисячі п’ятсот) користувачів </w:t>
            </w:r>
          </w:p>
          <w:p w:rsidR="002568B3" w:rsidRPr="00224BC8" w:rsidRDefault="002568B3" w:rsidP="001C1F21">
            <w:pPr>
              <w:jc w:val="center"/>
              <w:rPr>
                <w:b/>
                <w:sz w:val="28"/>
                <w:szCs w:val="28"/>
              </w:rPr>
            </w:pPr>
          </w:p>
        </w:tc>
      </w:tr>
      <w:tr w:rsidR="002568B3" w:rsidRPr="00224BC8" w:rsidTr="006B7EE1">
        <w:trPr>
          <w:trHeight w:val="2837"/>
        </w:trPr>
        <w:tc>
          <w:tcPr>
            <w:tcW w:w="9486" w:type="dxa"/>
            <w:gridSpan w:val="3"/>
          </w:tcPr>
          <w:p w:rsidR="002568B3" w:rsidRPr="00224BC8" w:rsidRDefault="002568B3" w:rsidP="003669BA">
            <w:pPr>
              <w:ind w:left="2340"/>
              <w:rPr>
                <w:b/>
                <w:bCs/>
                <w:shadow/>
              </w:rPr>
            </w:pPr>
          </w:p>
        </w:tc>
      </w:tr>
      <w:tr w:rsidR="002568B3" w:rsidRPr="00224BC8" w:rsidTr="006B7EE1">
        <w:trPr>
          <w:gridAfter w:val="1"/>
          <w:wAfter w:w="90" w:type="dxa"/>
        </w:trPr>
        <w:tc>
          <w:tcPr>
            <w:tcW w:w="9396" w:type="dxa"/>
            <w:gridSpan w:val="2"/>
          </w:tcPr>
          <w:p w:rsidR="002568B3" w:rsidRPr="00224BC8" w:rsidRDefault="002568B3" w:rsidP="003669BA">
            <w:pPr>
              <w:jc w:val="center"/>
            </w:pPr>
            <w:r w:rsidRPr="00224BC8">
              <w:t>м. Кременчук</w:t>
            </w:r>
          </w:p>
        </w:tc>
      </w:tr>
      <w:tr w:rsidR="002568B3" w:rsidRPr="00224BC8" w:rsidTr="006B7EE1">
        <w:trPr>
          <w:gridAfter w:val="1"/>
          <w:wAfter w:w="90" w:type="dxa"/>
        </w:trPr>
        <w:tc>
          <w:tcPr>
            <w:tcW w:w="9396" w:type="dxa"/>
            <w:gridSpan w:val="2"/>
          </w:tcPr>
          <w:p w:rsidR="002568B3" w:rsidRPr="00224BC8" w:rsidRDefault="002568B3" w:rsidP="003669BA">
            <w:pPr>
              <w:jc w:val="center"/>
            </w:pPr>
            <w:r w:rsidRPr="00224BC8">
              <w:t>202</w:t>
            </w:r>
            <w:r>
              <w:t>3</w:t>
            </w:r>
          </w:p>
        </w:tc>
      </w:tr>
    </w:tbl>
    <w:p w:rsidR="002568B3" w:rsidRPr="00224BC8" w:rsidRDefault="002568B3" w:rsidP="001044CF">
      <w:pPr>
        <w:sectPr w:rsidR="002568B3" w:rsidRPr="00224BC8">
          <w:pgSz w:w="11906" w:h="16838"/>
          <w:pgMar w:top="719" w:right="850" w:bottom="1134" w:left="1701" w:header="708" w:footer="708" w:gutter="0"/>
          <w:pgNumType w:start="1"/>
          <w:cols w:space="720" w:equalWidth="0">
            <w:col w:w="9689"/>
          </w:cols>
        </w:sectPr>
      </w:pPr>
    </w:p>
    <w:p w:rsidR="002568B3" w:rsidRPr="00224BC8" w:rsidRDefault="002568B3" w:rsidP="0007049F">
      <w:bookmarkStart w:id="0" w:name="_Toc410576462"/>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7446"/>
      </w:tblGrid>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pPr>
            <w:bookmarkStart w:id="1" w:name="_Toc410576427"/>
            <w:r w:rsidRPr="00224BC8">
              <w:rPr>
                <w:b/>
              </w:rPr>
              <w:t>Розділ І. Загальні положення</w:t>
            </w:r>
            <w:bookmarkEnd w:id="1"/>
          </w:p>
        </w:tc>
      </w:tr>
      <w:tr w:rsidR="002568B3" w:rsidRPr="00224BC8" w:rsidTr="007E062F">
        <w:trPr>
          <w:trHeight w:val="20"/>
          <w:jc w:val="center"/>
        </w:trPr>
        <w:tc>
          <w:tcPr>
            <w:tcW w:w="2692" w:type="dxa"/>
          </w:tcPr>
          <w:p w:rsidR="002568B3" w:rsidRPr="00224BC8" w:rsidRDefault="002568B3" w:rsidP="007E062F">
            <w:pPr>
              <w:jc w:val="center"/>
              <w:rPr>
                <w:b/>
              </w:rPr>
            </w:pPr>
            <w:r w:rsidRPr="00224BC8">
              <w:rPr>
                <w:b/>
              </w:rPr>
              <w:t>1</w:t>
            </w:r>
          </w:p>
        </w:tc>
        <w:tc>
          <w:tcPr>
            <w:tcW w:w="7446" w:type="dxa"/>
          </w:tcPr>
          <w:p w:rsidR="002568B3" w:rsidRPr="00224BC8" w:rsidRDefault="002568B3" w:rsidP="007E062F">
            <w:pPr>
              <w:jc w:val="center"/>
              <w:rPr>
                <w:b/>
              </w:rPr>
            </w:pPr>
            <w:r w:rsidRPr="00224BC8">
              <w:rPr>
                <w:b/>
              </w:rPr>
              <w:t>2</w:t>
            </w:r>
          </w:p>
        </w:tc>
      </w:tr>
      <w:tr w:rsidR="002568B3" w:rsidRPr="00224BC8" w:rsidTr="007E062F">
        <w:trPr>
          <w:trHeight w:val="20"/>
          <w:jc w:val="center"/>
        </w:trPr>
        <w:tc>
          <w:tcPr>
            <w:tcW w:w="2692" w:type="dxa"/>
          </w:tcPr>
          <w:p w:rsidR="002568B3" w:rsidRPr="00224BC8" w:rsidRDefault="002568B3" w:rsidP="007E062F">
            <w:pPr>
              <w:spacing w:after="120"/>
              <w:outlineLvl w:val="1"/>
              <w:rPr>
                <w:b/>
              </w:rPr>
            </w:pPr>
            <w:bookmarkStart w:id="2" w:name="_Toc410576428"/>
            <w:r w:rsidRPr="00224BC8">
              <w:rPr>
                <w:b/>
              </w:rPr>
              <w:t>1. Терміни, які вживаються в тендерній документації</w:t>
            </w:r>
            <w:bookmarkEnd w:id="2"/>
          </w:p>
        </w:tc>
        <w:tc>
          <w:tcPr>
            <w:tcW w:w="7446" w:type="dxa"/>
          </w:tcPr>
          <w:p w:rsidR="002568B3" w:rsidRPr="00224BC8" w:rsidRDefault="002568B3" w:rsidP="007E062F">
            <w:pPr>
              <w:spacing w:after="120"/>
              <w:jc w:val="both"/>
            </w:pPr>
            <w:r w:rsidRPr="00224BC8">
              <w:t>Тендерну документацію розроблено відповідно до вимог Закону України «Про публічні закупівлі» (далі – Закон). Терміни вживаються в значенні, наведеному у Законі.</w:t>
            </w:r>
          </w:p>
        </w:tc>
      </w:tr>
      <w:tr w:rsidR="002568B3" w:rsidRPr="00224BC8" w:rsidTr="007E062F">
        <w:trPr>
          <w:trHeight w:val="20"/>
          <w:jc w:val="center"/>
        </w:trPr>
        <w:tc>
          <w:tcPr>
            <w:tcW w:w="2692" w:type="dxa"/>
          </w:tcPr>
          <w:p w:rsidR="002568B3" w:rsidRPr="00224BC8" w:rsidRDefault="002568B3" w:rsidP="007E062F">
            <w:pPr>
              <w:spacing w:after="120"/>
              <w:outlineLvl w:val="1"/>
              <w:rPr>
                <w:b/>
              </w:rPr>
            </w:pPr>
            <w:bookmarkStart w:id="3" w:name="_Toc410576429"/>
            <w:r w:rsidRPr="00224BC8">
              <w:rPr>
                <w:b/>
              </w:rPr>
              <w:t>2. Інформація про замовника торгів:</w:t>
            </w:r>
            <w:bookmarkEnd w:id="3"/>
          </w:p>
        </w:tc>
        <w:tc>
          <w:tcPr>
            <w:tcW w:w="7446" w:type="dxa"/>
          </w:tcPr>
          <w:p w:rsidR="002568B3" w:rsidRPr="00224BC8" w:rsidRDefault="002568B3" w:rsidP="007E062F">
            <w:pPr>
              <w:spacing w:after="120"/>
              <w:jc w:val="both"/>
              <w:rPr>
                <w:i/>
              </w:rPr>
            </w:pPr>
          </w:p>
        </w:tc>
      </w:tr>
      <w:tr w:rsidR="002568B3" w:rsidRPr="00224BC8" w:rsidTr="007E062F">
        <w:trPr>
          <w:trHeight w:val="20"/>
          <w:jc w:val="center"/>
        </w:trPr>
        <w:tc>
          <w:tcPr>
            <w:tcW w:w="2692" w:type="dxa"/>
          </w:tcPr>
          <w:p w:rsidR="002568B3" w:rsidRPr="00224BC8" w:rsidRDefault="002568B3" w:rsidP="007E062F">
            <w:pPr>
              <w:spacing w:after="120"/>
              <w:outlineLvl w:val="2"/>
            </w:pPr>
            <w:r w:rsidRPr="00224BC8">
              <w:t>2.1. повне найменування</w:t>
            </w:r>
          </w:p>
        </w:tc>
        <w:tc>
          <w:tcPr>
            <w:tcW w:w="7446" w:type="dxa"/>
          </w:tcPr>
          <w:p w:rsidR="002568B3" w:rsidRPr="00224BC8" w:rsidRDefault="002568B3" w:rsidP="00CD5305">
            <w:pPr>
              <w:spacing w:after="120"/>
              <w:jc w:val="both"/>
            </w:pPr>
            <w:r w:rsidRPr="00224BC8">
              <w:rPr>
                <w:b/>
                <w:bCs/>
              </w:rPr>
              <w:t xml:space="preserve">Комунальне підприємство «Міськоформлення» Кременчуцької міської ради Кременчуцького району Полтавської області </w:t>
            </w:r>
            <w:r w:rsidRPr="00224BC8">
              <w:t>(далі – Замовник)</w:t>
            </w:r>
          </w:p>
        </w:tc>
      </w:tr>
      <w:tr w:rsidR="002568B3" w:rsidRPr="00224BC8" w:rsidTr="007E062F">
        <w:trPr>
          <w:trHeight w:val="20"/>
          <w:jc w:val="center"/>
        </w:trPr>
        <w:tc>
          <w:tcPr>
            <w:tcW w:w="2692" w:type="dxa"/>
          </w:tcPr>
          <w:p w:rsidR="002568B3" w:rsidRPr="00224BC8" w:rsidRDefault="002568B3" w:rsidP="007E062F">
            <w:pPr>
              <w:spacing w:after="120"/>
              <w:outlineLvl w:val="2"/>
            </w:pPr>
            <w:r w:rsidRPr="00224BC8">
              <w:t>2.2. місцезнаходження</w:t>
            </w:r>
          </w:p>
        </w:tc>
        <w:tc>
          <w:tcPr>
            <w:tcW w:w="7446" w:type="dxa"/>
          </w:tcPr>
          <w:p w:rsidR="002568B3" w:rsidRPr="00224BC8" w:rsidRDefault="002568B3" w:rsidP="009164B0">
            <w:pPr>
              <w:spacing w:before="94" w:after="94"/>
              <w:jc w:val="both"/>
              <w:rPr>
                <w:b/>
                <w:bCs/>
              </w:rPr>
            </w:pPr>
            <w:r w:rsidRPr="00224BC8">
              <w:rPr>
                <w:b/>
                <w:bCs/>
              </w:rPr>
              <w:t>Юридична адреса: 39600, Полтавська обл., м. Кременчук, пл. Перемоги, 2.</w:t>
            </w:r>
          </w:p>
          <w:p w:rsidR="002568B3" w:rsidRPr="00224BC8" w:rsidRDefault="002568B3" w:rsidP="009164B0">
            <w:pPr>
              <w:spacing w:after="120"/>
              <w:jc w:val="both"/>
            </w:pPr>
            <w:r w:rsidRPr="00224BC8">
              <w:rPr>
                <w:b/>
                <w:bCs/>
              </w:rPr>
              <w:t xml:space="preserve">Поштова адреса: 39600, Полтавська обл., м. Кременчук, вул. </w:t>
            </w:r>
            <w:r>
              <w:rPr>
                <w:b/>
                <w:bCs/>
              </w:rPr>
              <w:t>Алітуська</w:t>
            </w:r>
            <w:r w:rsidRPr="00224BC8">
              <w:rPr>
                <w:b/>
                <w:bCs/>
              </w:rPr>
              <w:t>, 12.</w:t>
            </w:r>
          </w:p>
        </w:tc>
      </w:tr>
      <w:tr w:rsidR="002568B3" w:rsidRPr="00224BC8" w:rsidTr="007E062F">
        <w:trPr>
          <w:trHeight w:val="20"/>
          <w:jc w:val="center"/>
        </w:trPr>
        <w:tc>
          <w:tcPr>
            <w:tcW w:w="2692" w:type="dxa"/>
          </w:tcPr>
          <w:p w:rsidR="002568B3" w:rsidRPr="00224BC8" w:rsidRDefault="002568B3" w:rsidP="007E062F">
            <w:pPr>
              <w:spacing w:after="120"/>
              <w:outlineLvl w:val="2"/>
            </w:pPr>
            <w:r w:rsidRPr="00224BC8">
              <w:t>2.3. посадова особа Замовника, уповноважена здійснювати зв’язок з учасниками</w:t>
            </w:r>
          </w:p>
        </w:tc>
        <w:tc>
          <w:tcPr>
            <w:tcW w:w="7446" w:type="dxa"/>
          </w:tcPr>
          <w:p w:rsidR="002568B3" w:rsidRPr="00224BC8" w:rsidRDefault="002568B3" w:rsidP="009164B0">
            <w:pPr>
              <w:jc w:val="both"/>
              <w:rPr>
                <w:b/>
              </w:rPr>
            </w:pPr>
            <w:r w:rsidRPr="00224BC8">
              <w:rPr>
                <w:b/>
              </w:rPr>
              <w:t xml:space="preserve">Плескач Леся Володимирівна, вул. </w:t>
            </w:r>
            <w:r>
              <w:rPr>
                <w:b/>
              </w:rPr>
              <w:t>Алітуська</w:t>
            </w:r>
            <w:r w:rsidRPr="00224BC8">
              <w:rPr>
                <w:b/>
              </w:rPr>
              <w:t xml:space="preserve">, </w:t>
            </w:r>
            <w:smartTag w:uri="urn:schemas-microsoft-com:office:smarttags" w:element="metricconverter">
              <w:smartTagPr>
                <w:attr w:name="ProductID" w:val="12, м"/>
              </w:smartTagPr>
              <w:r w:rsidRPr="00224BC8">
                <w:rPr>
                  <w:b/>
                </w:rPr>
                <w:t>12, м</w:t>
              </w:r>
            </w:smartTag>
            <w:r w:rsidRPr="00224BC8">
              <w:rPr>
                <w:b/>
              </w:rPr>
              <w:t xml:space="preserve">. Кременчук, Полтавська область, 39600, +380977509169, kpmoform@gmail.com тел.: +380677013035, </w:t>
            </w:r>
            <w:r w:rsidRPr="00224BC8">
              <w:rPr>
                <w:b/>
                <w:bCs/>
              </w:rPr>
              <w:t>e-mail: kremen.develop</w:t>
            </w:r>
            <w:r w:rsidRPr="00224BC8">
              <w:rPr>
                <w:b/>
              </w:rPr>
              <w:t>@gmail.com</w:t>
            </w:r>
          </w:p>
          <w:p w:rsidR="002568B3" w:rsidRPr="00224BC8" w:rsidRDefault="002568B3" w:rsidP="009164B0">
            <w:pPr>
              <w:spacing w:after="120"/>
              <w:jc w:val="both"/>
            </w:pPr>
            <w:r w:rsidRPr="00224BC8">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2568B3" w:rsidRPr="00224BC8" w:rsidTr="007E062F">
        <w:trPr>
          <w:trHeight w:val="20"/>
          <w:jc w:val="center"/>
        </w:trPr>
        <w:tc>
          <w:tcPr>
            <w:tcW w:w="2692" w:type="dxa"/>
          </w:tcPr>
          <w:p w:rsidR="002568B3" w:rsidRPr="00224BC8" w:rsidRDefault="002568B3" w:rsidP="007E062F">
            <w:pPr>
              <w:spacing w:after="120"/>
              <w:outlineLvl w:val="1"/>
              <w:rPr>
                <w:b/>
              </w:rPr>
            </w:pPr>
            <w:r w:rsidRPr="00224BC8">
              <w:rPr>
                <w:b/>
              </w:rPr>
              <w:t>3. Процедура закупівлі</w:t>
            </w:r>
          </w:p>
        </w:tc>
        <w:tc>
          <w:tcPr>
            <w:tcW w:w="7446" w:type="dxa"/>
          </w:tcPr>
          <w:p w:rsidR="002568B3" w:rsidRPr="00224BC8" w:rsidRDefault="002568B3" w:rsidP="007E062F">
            <w:pPr>
              <w:spacing w:after="120"/>
              <w:jc w:val="both"/>
            </w:pPr>
            <w:r w:rsidRPr="00224BC8">
              <w:rPr>
                <w:b/>
                <w:bCs/>
              </w:rPr>
              <w:t>відкриті торги</w:t>
            </w:r>
          </w:p>
        </w:tc>
      </w:tr>
      <w:tr w:rsidR="002568B3" w:rsidRPr="00224BC8" w:rsidTr="007E062F">
        <w:trPr>
          <w:trHeight w:val="20"/>
          <w:jc w:val="center"/>
        </w:trPr>
        <w:tc>
          <w:tcPr>
            <w:tcW w:w="2692" w:type="dxa"/>
          </w:tcPr>
          <w:p w:rsidR="002568B3" w:rsidRPr="00224BC8" w:rsidRDefault="002568B3" w:rsidP="007E062F">
            <w:pPr>
              <w:spacing w:after="120"/>
              <w:outlineLvl w:val="1"/>
            </w:pPr>
            <w:bookmarkStart w:id="4" w:name="_Toc410576430"/>
            <w:r w:rsidRPr="00224BC8">
              <w:rPr>
                <w:b/>
              </w:rPr>
              <w:t>4. Інформація про предмет закупівлі:</w:t>
            </w:r>
            <w:bookmarkEnd w:id="4"/>
          </w:p>
        </w:tc>
        <w:tc>
          <w:tcPr>
            <w:tcW w:w="7446" w:type="dxa"/>
          </w:tcPr>
          <w:p w:rsidR="002568B3" w:rsidRPr="00224BC8" w:rsidRDefault="002568B3" w:rsidP="00382B85">
            <w:pPr>
              <w:spacing w:after="120"/>
              <w:jc w:val="center"/>
            </w:pPr>
          </w:p>
        </w:tc>
      </w:tr>
      <w:tr w:rsidR="002568B3" w:rsidRPr="00224BC8" w:rsidTr="007E062F">
        <w:trPr>
          <w:trHeight w:val="20"/>
          <w:jc w:val="center"/>
        </w:trPr>
        <w:tc>
          <w:tcPr>
            <w:tcW w:w="2692" w:type="dxa"/>
          </w:tcPr>
          <w:p w:rsidR="002568B3" w:rsidRPr="00224BC8" w:rsidRDefault="002568B3" w:rsidP="0007049F">
            <w:pPr>
              <w:spacing w:after="120"/>
              <w:outlineLvl w:val="2"/>
            </w:pPr>
            <w:r w:rsidRPr="00224BC8">
              <w:t>4.1. назва предмета закупівлі</w:t>
            </w:r>
          </w:p>
        </w:tc>
        <w:tc>
          <w:tcPr>
            <w:tcW w:w="7446" w:type="dxa"/>
          </w:tcPr>
          <w:p w:rsidR="002568B3" w:rsidRPr="00224BC8" w:rsidRDefault="002568B3" w:rsidP="008C0A35">
            <w:pPr>
              <w:spacing w:after="120"/>
              <w:outlineLvl w:val="2"/>
              <w:rPr>
                <w:b/>
                <w:bCs/>
              </w:rPr>
            </w:pPr>
            <w:r w:rsidRPr="00224BC8">
              <w:rPr>
                <w:b/>
                <w:bCs/>
              </w:rPr>
              <w:t xml:space="preserve">Розробка програмного забезпечення для реєстраційної системи електронного обміну документів </w:t>
            </w:r>
            <w:r w:rsidRPr="00CC30C7">
              <w:rPr>
                <w:b/>
                <w:bCs/>
              </w:rPr>
              <w:t>Управлінської геоінформаційної системи</w:t>
            </w:r>
            <w:r w:rsidRPr="00224BC8">
              <w:rPr>
                <w:b/>
                <w:bCs/>
              </w:rPr>
              <w:t xml:space="preserve">на 2500 (дві тисячі п’ятсот) користувачів </w:t>
            </w:r>
            <w:r w:rsidRPr="00224BC8">
              <w:rPr>
                <w:bCs/>
              </w:rPr>
              <w:t>(код ДК 021:2015 (CPV 2008) – 72230000-6 – Послуги з розробки програмного забезпечення на замовлення)</w:t>
            </w:r>
            <w:r w:rsidRPr="00224BC8">
              <w:rPr>
                <w:b/>
                <w:bCs/>
              </w:rPr>
              <w:t xml:space="preserve"> </w:t>
            </w:r>
          </w:p>
        </w:tc>
      </w:tr>
      <w:tr w:rsidR="002568B3" w:rsidRPr="00224BC8" w:rsidTr="007E062F">
        <w:trPr>
          <w:trHeight w:val="20"/>
          <w:jc w:val="center"/>
        </w:trPr>
        <w:tc>
          <w:tcPr>
            <w:tcW w:w="2692" w:type="dxa"/>
          </w:tcPr>
          <w:p w:rsidR="002568B3" w:rsidRPr="00224BC8" w:rsidRDefault="002568B3" w:rsidP="008461DF">
            <w:pPr>
              <w:spacing w:after="120"/>
              <w:outlineLvl w:val="2"/>
            </w:pPr>
            <w:r w:rsidRPr="00224BC8">
              <w:t>4.</w:t>
            </w:r>
            <w:r>
              <w:t>2</w:t>
            </w:r>
            <w:r w:rsidRPr="00224BC8">
              <w:t>. опис окремої частини (частин) предмета закупівлі (лота), щодо якої можуть бути подані тендерні пропозиції</w:t>
            </w:r>
          </w:p>
        </w:tc>
        <w:tc>
          <w:tcPr>
            <w:tcW w:w="7446" w:type="dxa"/>
          </w:tcPr>
          <w:p w:rsidR="002568B3" w:rsidRDefault="002568B3" w:rsidP="008461DF">
            <w:pPr>
              <w:spacing w:after="120"/>
              <w:jc w:val="both"/>
            </w:pPr>
            <w:r w:rsidRPr="008461DF">
              <w:rPr>
                <w:b/>
              </w:rPr>
              <w:t>ЛОТ 1</w:t>
            </w:r>
            <w:r>
              <w:t xml:space="preserve"> – </w:t>
            </w:r>
            <w:r w:rsidRPr="00DC6A19">
              <w:t>Розробка клієнтського веб-додатку РСЕОД УГІС «Реєстрація вхідних-вихідних документів» для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відповідно структури реєстру основних виконавців УГІС та інтеграція веб-додатку РСЕОД УГІС до функціонуючої Управлінської геоінформаційної системи</w:t>
            </w:r>
            <w:r>
              <w:t>.</w:t>
            </w:r>
          </w:p>
          <w:p w:rsidR="002568B3" w:rsidRDefault="002568B3" w:rsidP="008461DF">
            <w:pPr>
              <w:spacing w:after="120"/>
              <w:jc w:val="both"/>
            </w:pPr>
            <w:r w:rsidRPr="008461DF">
              <w:rPr>
                <w:b/>
              </w:rPr>
              <w:t>ЛОТ 2</w:t>
            </w:r>
            <w:r>
              <w:t xml:space="preserve"> – </w:t>
            </w:r>
            <w:r w:rsidRPr="00DC6A19">
              <w:t>Розробка засобів керування файлами розподіленого файлового сховища УГІС для функціонування РСЕОД УГІС та інтеграція рішень до функціонуючої Управлінської геоінформаційної системи</w:t>
            </w:r>
            <w:r>
              <w:t>.</w:t>
            </w:r>
          </w:p>
          <w:p w:rsidR="002568B3" w:rsidRDefault="002568B3" w:rsidP="008461DF">
            <w:pPr>
              <w:spacing w:after="120"/>
              <w:jc w:val="both"/>
            </w:pPr>
            <w:r w:rsidRPr="004E64D7">
              <w:rPr>
                <w:b/>
              </w:rPr>
              <w:t>ЛОТ 3</w:t>
            </w:r>
            <w:r>
              <w:t xml:space="preserve"> – </w:t>
            </w:r>
            <w:r w:rsidRPr="00DC6A19">
              <w:t>Модернізація модуля операторської системи управління даними «Відділ по роботі з документами МВК» УГІС та інтеграція модернізованого модуля до функціонуючої Управлінської геоінформаційної системи</w:t>
            </w:r>
            <w:r>
              <w:t>.</w:t>
            </w:r>
          </w:p>
          <w:p w:rsidR="002568B3" w:rsidRDefault="002568B3" w:rsidP="008461DF">
            <w:pPr>
              <w:spacing w:after="120"/>
              <w:jc w:val="both"/>
            </w:pPr>
            <w:r w:rsidRPr="008461DF">
              <w:rPr>
                <w:b/>
              </w:rPr>
              <w:t>ЛОТ 4</w:t>
            </w:r>
            <w:r>
              <w:t xml:space="preserve"> – </w:t>
            </w:r>
            <w:r w:rsidRPr="00DC6A19">
              <w:t>Розробка модулю РСЕОД УГІС для операторської системи управління даними «Портал МВК» УГІС та інтеграція розробленого модуля до функціонуючої Управлінської геоінформаційної системи</w:t>
            </w:r>
            <w:r>
              <w:t>.</w:t>
            </w:r>
          </w:p>
          <w:p w:rsidR="002568B3" w:rsidRDefault="002568B3" w:rsidP="008461DF">
            <w:pPr>
              <w:spacing w:after="120"/>
              <w:jc w:val="both"/>
            </w:pPr>
            <w:r w:rsidRPr="008461DF">
              <w:rPr>
                <w:b/>
              </w:rPr>
              <w:t>ЛОТ 5</w:t>
            </w:r>
            <w:r>
              <w:t xml:space="preserve"> – </w:t>
            </w:r>
            <w:r w:rsidRPr="00DC6A19">
              <w:t>Модернізація операторської системи управління даними «Кадрова політика» та реєстру основних виконавців УГІС та інтеграція операторської системи управління даними «Кадрова політика» та реєстру основних виконавців до функціонуючої Управлінської геоінформаційної системи</w:t>
            </w:r>
            <w:r>
              <w:t>.</w:t>
            </w:r>
          </w:p>
          <w:p w:rsidR="002568B3" w:rsidRDefault="002568B3" w:rsidP="008461DF">
            <w:pPr>
              <w:spacing w:after="120"/>
              <w:jc w:val="both"/>
            </w:pPr>
            <w:r w:rsidRPr="008461DF">
              <w:rPr>
                <w:b/>
              </w:rPr>
              <w:t>ЛОТ 6</w:t>
            </w:r>
            <w:r>
              <w:t xml:space="preserve"> – </w:t>
            </w:r>
            <w:r w:rsidRPr="00DC6A19">
              <w:t>Розробка застосунку «Виконавець РСЕОД УГІС» та інтеграція застосунку до функціонуючої Управлінської геоінформаційної системи</w:t>
            </w:r>
            <w:r>
              <w:t>.</w:t>
            </w:r>
          </w:p>
          <w:p w:rsidR="002568B3" w:rsidRPr="00224BC8" w:rsidRDefault="002568B3" w:rsidP="008461DF">
            <w:pPr>
              <w:spacing w:after="120"/>
              <w:jc w:val="both"/>
            </w:pPr>
            <w:r w:rsidRPr="008461DF">
              <w:rPr>
                <w:b/>
              </w:rPr>
              <w:t>ЛОТ 7</w:t>
            </w:r>
            <w:r>
              <w:t xml:space="preserve"> – </w:t>
            </w:r>
            <w:r w:rsidRPr="00DC6A19">
              <w:t>Інтеграція існуючих рішень функціонуючої Управлінської геоінформаційної системи з РСЕОД УГІС</w:t>
            </w:r>
            <w:r>
              <w:t>.</w:t>
            </w:r>
          </w:p>
        </w:tc>
      </w:tr>
      <w:tr w:rsidR="002568B3" w:rsidRPr="00224BC8" w:rsidTr="007E062F">
        <w:trPr>
          <w:trHeight w:val="20"/>
          <w:jc w:val="center"/>
        </w:trPr>
        <w:tc>
          <w:tcPr>
            <w:tcW w:w="2692" w:type="dxa"/>
          </w:tcPr>
          <w:p w:rsidR="002568B3" w:rsidRPr="00224BC8" w:rsidRDefault="002568B3" w:rsidP="009164B0">
            <w:pPr>
              <w:spacing w:after="120"/>
              <w:outlineLvl w:val="2"/>
            </w:pPr>
            <w:r w:rsidRPr="00224BC8">
              <w:t>4.4. місце, кількість, обсяг поставки товарів (надання послуг, виконання робіт)</w:t>
            </w:r>
          </w:p>
        </w:tc>
        <w:tc>
          <w:tcPr>
            <w:tcW w:w="7446" w:type="dxa"/>
          </w:tcPr>
          <w:p w:rsidR="002568B3" w:rsidRPr="00224BC8" w:rsidRDefault="002568B3" w:rsidP="009164B0">
            <w:pPr>
              <w:spacing w:before="94" w:after="94"/>
              <w:rPr>
                <w:b/>
                <w:bCs/>
              </w:rPr>
            </w:pPr>
            <w:r w:rsidRPr="00224BC8">
              <w:rPr>
                <w:b/>
                <w:bCs/>
              </w:rPr>
              <w:t xml:space="preserve">39600, Полтавська обл., м. Кременчук, вул. </w:t>
            </w:r>
            <w:r>
              <w:rPr>
                <w:b/>
                <w:bCs/>
              </w:rPr>
              <w:t>Алітуська</w:t>
            </w:r>
            <w:r w:rsidRPr="00224BC8">
              <w:rPr>
                <w:b/>
                <w:bCs/>
              </w:rPr>
              <w:t>, 12.</w:t>
            </w:r>
          </w:p>
          <w:p w:rsidR="002568B3" w:rsidRPr="00224BC8" w:rsidRDefault="002568B3" w:rsidP="00485D35">
            <w:pPr>
              <w:spacing w:after="120"/>
              <w:jc w:val="both"/>
            </w:pPr>
            <w:r>
              <w:t>Обсяг постачання товару визначається в Інформації про необхідні технічні, якісні та кількісні характеристики предмета закупівлі (Додаток 1 до тендерної документації).</w:t>
            </w:r>
          </w:p>
        </w:tc>
      </w:tr>
      <w:tr w:rsidR="002568B3" w:rsidRPr="00224BC8" w:rsidTr="007E062F">
        <w:trPr>
          <w:trHeight w:val="20"/>
          <w:jc w:val="center"/>
        </w:trPr>
        <w:tc>
          <w:tcPr>
            <w:tcW w:w="2692" w:type="dxa"/>
          </w:tcPr>
          <w:p w:rsidR="002568B3" w:rsidRPr="00224BC8" w:rsidRDefault="002568B3" w:rsidP="007E062F">
            <w:pPr>
              <w:spacing w:after="120"/>
              <w:outlineLvl w:val="2"/>
            </w:pPr>
            <w:r w:rsidRPr="00224BC8">
              <w:t>4.4. строк поставки товарів (надання послуг, виконання робіт)</w:t>
            </w:r>
          </w:p>
        </w:tc>
        <w:tc>
          <w:tcPr>
            <w:tcW w:w="7446" w:type="dxa"/>
          </w:tcPr>
          <w:p w:rsidR="002568B3" w:rsidRPr="00224BC8" w:rsidRDefault="002568B3" w:rsidP="006071D3">
            <w:pPr>
              <w:spacing w:after="120"/>
              <w:jc w:val="both"/>
            </w:pPr>
            <w:r w:rsidRPr="00C54B49">
              <w:t>з дати укладення договору про закупівлю до 31 грудня 202</w:t>
            </w:r>
            <w:r>
              <w:t>3</w:t>
            </w:r>
            <w:r w:rsidRPr="00C54B49">
              <w:t xml:space="preserve"> року</w:t>
            </w:r>
          </w:p>
        </w:tc>
      </w:tr>
      <w:tr w:rsidR="002568B3" w:rsidRPr="00224BC8" w:rsidTr="007E062F">
        <w:trPr>
          <w:trHeight w:val="20"/>
          <w:jc w:val="center"/>
        </w:trPr>
        <w:tc>
          <w:tcPr>
            <w:tcW w:w="2692" w:type="dxa"/>
          </w:tcPr>
          <w:p w:rsidR="002568B3" w:rsidRPr="00224BC8" w:rsidRDefault="002568B3" w:rsidP="007E062F">
            <w:pPr>
              <w:spacing w:after="120"/>
              <w:outlineLvl w:val="1"/>
              <w:rPr>
                <w:b/>
              </w:rPr>
            </w:pPr>
            <w:bookmarkStart w:id="5" w:name="_Toc410576432"/>
            <w:r w:rsidRPr="00224BC8">
              <w:rPr>
                <w:b/>
              </w:rPr>
              <w:t>5. Недискримінація учасників</w:t>
            </w:r>
            <w:bookmarkEnd w:id="5"/>
          </w:p>
        </w:tc>
        <w:tc>
          <w:tcPr>
            <w:tcW w:w="7446" w:type="dxa"/>
          </w:tcPr>
          <w:p w:rsidR="002568B3" w:rsidRPr="00224BC8" w:rsidRDefault="002568B3" w:rsidP="007E062F">
            <w:pPr>
              <w:spacing w:after="120"/>
              <w:jc w:val="both"/>
            </w:pPr>
            <w:r w:rsidRPr="00224BC8">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6" w:name="_Toc410576433"/>
            <w:r w:rsidRPr="00224BC8">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rsidR="002568B3" w:rsidRPr="00224BC8" w:rsidRDefault="002568B3" w:rsidP="007E062F">
            <w:pPr>
              <w:spacing w:after="120"/>
              <w:jc w:val="both"/>
            </w:pPr>
            <w:r w:rsidRPr="00224BC8">
              <w:t>Валютою тендерної пропозиції є гривня.</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7" w:name="_Toc410576434"/>
            <w:r w:rsidRPr="00224BC8">
              <w:rPr>
                <w:b/>
                <w:lang w:eastAsia="en-US"/>
              </w:rPr>
              <w:t>7. Інформація про мову (мови), якою (якими) повинно бути складено тендерні пропозиції</w:t>
            </w:r>
            <w:bookmarkEnd w:id="7"/>
          </w:p>
        </w:tc>
        <w:tc>
          <w:tcPr>
            <w:tcW w:w="7446" w:type="dxa"/>
          </w:tcPr>
          <w:p w:rsidR="002568B3" w:rsidRPr="00224BC8" w:rsidRDefault="002568B3" w:rsidP="007E062F">
            <w:pPr>
              <w:spacing w:after="120"/>
              <w:jc w:val="both"/>
            </w:pPr>
            <w:r w:rsidRPr="00224BC8">
              <w:t>Усі документи, що подаються у складі тендерної пропозиції повинні бути складені українською мовою.</w:t>
            </w:r>
          </w:p>
          <w:p w:rsidR="002568B3" w:rsidRPr="00224BC8" w:rsidRDefault="002568B3" w:rsidP="007E062F">
            <w:pPr>
              <w:spacing w:after="120"/>
              <w:jc w:val="both"/>
            </w:pPr>
            <w:r w:rsidRPr="00224BC8">
              <w:t>У разі, якщо документ викладений іноземною мовою до нього додається переклад українською мовою. Тексти повинні бути автентичними, визначальним є текст, викладений українською мовою.</w:t>
            </w:r>
          </w:p>
          <w:p w:rsidR="002568B3" w:rsidRPr="00224BC8" w:rsidRDefault="002568B3" w:rsidP="00F5425F">
            <w:pPr>
              <w:spacing w:after="120"/>
              <w:jc w:val="both"/>
              <w:rPr>
                <w:i/>
              </w:rPr>
            </w:pPr>
            <w:r w:rsidRPr="00224BC8">
              <w:t>Допускається надання у складі тендерної пропозиції копій документів (договорів, наказів, протоколів, технічних паспортів, сертифікатів тощо) складених російською мовою.</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r w:rsidRPr="00224BC8">
              <w:rPr>
                <w:b/>
              </w:rPr>
              <w:t>8. Розмір мінімального кроку пониження ціни під час електронного аукціону</w:t>
            </w:r>
          </w:p>
        </w:tc>
        <w:tc>
          <w:tcPr>
            <w:tcW w:w="7446" w:type="dxa"/>
          </w:tcPr>
          <w:p w:rsidR="002568B3" w:rsidRPr="00224BC8" w:rsidRDefault="002568B3" w:rsidP="007E062F">
            <w:pPr>
              <w:spacing w:after="120"/>
              <w:jc w:val="both"/>
            </w:pPr>
            <w:r w:rsidRPr="00224BC8">
              <w:rPr>
                <w:lang w:eastAsia="uk-UA"/>
              </w:rPr>
              <w:t>0,5%</w:t>
            </w:r>
          </w:p>
        </w:tc>
      </w:tr>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rPr>
                <w:b/>
              </w:rPr>
            </w:pPr>
            <w:bookmarkStart w:id="8" w:name="_Toc410576435"/>
            <w:r w:rsidRPr="00224BC8">
              <w:rPr>
                <w:b/>
              </w:rPr>
              <w:t>Розділ ІІ. Порядок внесення змін та надання роз`яснень до тендерної документації</w:t>
            </w:r>
            <w:bookmarkEnd w:id="8"/>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9" w:name="_Toc410576436"/>
            <w:r w:rsidRPr="00224BC8">
              <w:rPr>
                <w:b/>
                <w:lang w:eastAsia="en-US"/>
              </w:rPr>
              <w:t>1. Процедура надання роз’яснень щодо тендерної документації</w:t>
            </w:r>
            <w:bookmarkEnd w:id="9"/>
          </w:p>
        </w:tc>
        <w:tc>
          <w:tcPr>
            <w:tcW w:w="7446" w:type="dxa"/>
          </w:tcPr>
          <w:p w:rsidR="002568B3" w:rsidRPr="00224BC8" w:rsidRDefault="002568B3" w:rsidP="007E062F">
            <w:pPr>
              <w:spacing w:after="120"/>
              <w:jc w:val="both"/>
              <w:rPr>
                <w:color w:val="000000"/>
                <w:shd w:val="clear" w:color="auto" w:fill="FFFFFF"/>
              </w:rPr>
            </w:pPr>
            <w:r w:rsidRPr="00224BC8">
              <w:rPr>
                <w:color w:val="000000"/>
              </w:rPr>
              <w:t>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2568B3" w:rsidRPr="00224BC8" w:rsidRDefault="002568B3" w:rsidP="00EA051A">
            <w:pPr>
              <w:spacing w:after="120"/>
              <w:jc w:val="both"/>
              <w:rPr>
                <w:color w:val="000000"/>
                <w:shd w:val="clear" w:color="auto" w:fill="FFFFFF"/>
              </w:rPr>
            </w:pPr>
            <w:r w:rsidRPr="00224BC8">
              <w:rPr>
                <w:color w:val="000000"/>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2568B3" w:rsidRPr="00224BC8" w:rsidRDefault="002568B3" w:rsidP="00EA051A">
            <w:pPr>
              <w:spacing w:after="120"/>
              <w:jc w:val="both"/>
            </w:pPr>
            <w:r w:rsidRPr="00224BC8">
              <w:rPr>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сім днів.</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r w:rsidRPr="00224BC8">
              <w:rPr>
                <w:b/>
                <w:lang w:eastAsia="en-US"/>
              </w:rPr>
              <w:t>2. Унесення змін до тендерної документації</w:t>
            </w:r>
          </w:p>
        </w:tc>
        <w:tc>
          <w:tcPr>
            <w:tcW w:w="7446" w:type="dxa"/>
          </w:tcPr>
          <w:p w:rsidR="002568B3" w:rsidRPr="00224BC8" w:rsidRDefault="002568B3" w:rsidP="007E062F">
            <w:pPr>
              <w:spacing w:after="120"/>
              <w:jc w:val="both"/>
              <w:rPr>
                <w:color w:val="000000"/>
              </w:rPr>
            </w:pPr>
            <w:r w:rsidRPr="00224BC8">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семи днів.</w:t>
            </w:r>
          </w:p>
          <w:p w:rsidR="002568B3" w:rsidRPr="00224BC8" w:rsidRDefault="002568B3" w:rsidP="007E062F">
            <w:pPr>
              <w:spacing w:after="120"/>
              <w:jc w:val="both"/>
              <w:rPr>
                <w:color w:val="000000"/>
              </w:rPr>
            </w:pPr>
            <w:r w:rsidRPr="00224BC8">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568B3" w:rsidRPr="00224BC8" w:rsidRDefault="002568B3" w:rsidP="007E062F">
            <w:pPr>
              <w:spacing w:after="120"/>
              <w:jc w:val="both"/>
              <w:rPr>
                <w:color w:val="000000"/>
              </w:rPr>
            </w:pPr>
            <w:r w:rsidRPr="00224BC8">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568B3" w:rsidRPr="00224BC8" w:rsidRDefault="002568B3" w:rsidP="007E062F">
            <w:pPr>
              <w:spacing w:after="120"/>
              <w:jc w:val="both"/>
              <w:rPr>
                <w:color w:val="000000"/>
                <w:shd w:val="clear" w:color="auto" w:fill="FFFFFF"/>
              </w:rPr>
            </w:pPr>
            <w:r w:rsidRPr="00224BC8">
              <w:rPr>
                <w:color w:val="000000"/>
              </w:rPr>
              <w:t>Зазначена інформація оприлюднюється замовником відповідно до статті 10 Закону.</w:t>
            </w:r>
          </w:p>
        </w:tc>
      </w:tr>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rPr>
                <w:b/>
              </w:rPr>
            </w:pPr>
            <w:bookmarkStart w:id="10" w:name="_Toc410576438"/>
            <w:r w:rsidRPr="00224BC8">
              <w:rPr>
                <w:b/>
              </w:rPr>
              <w:t>Розділ ІІІ. Інструкція з підготовки тендерної пропозиції</w:t>
            </w:r>
            <w:bookmarkEnd w:id="10"/>
          </w:p>
        </w:tc>
      </w:tr>
      <w:tr w:rsidR="002568B3" w:rsidRPr="00224BC8" w:rsidTr="007E062F">
        <w:trPr>
          <w:trHeight w:val="20"/>
          <w:jc w:val="center"/>
        </w:trPr>
        <w:tc>
          <w:tcPr>
            <w:tcW w:w="2692" w:type="dxa"/>
          </w:tcPr>
          <w:p w:rsidR="002568B3" w:rsidRPr="00224BC8" w:rsidRDefault="002568B3" w:rsidP="007E062F">
            <w:pPr>
              <w:spacing w:after="120"/>
            </w:pPr>
            <w:bookmarkStart w:id="11" w:name="_Toc410576439"/>
            <w:r w:rsidRPr="00224BC8">
              <w:rPr>
                <w:b/>
              </w:rPr>
              <w:t>1. </w:t>
            </w:r>
            <w:bookmarkEnd w:id="11"/>
            <w:r w:rsidRPr="00224BC8">
              <w:rPr>
                <w:b/>
              </w:rPr>
              <w:t>Зміст і спосіб подання тендерної пропозиції</w:t>
            </w:r>
          </w:p>
        </w:tc>
        <w:tc>
          <w:tcPr>
            <w:tcW w:w="7446" w:type="dxa"/>
          </w:tcPr>
          <w:p w:rsidR="002568B3" w:rsidRPr="00224BC8" w:rsidRDefault="002568B3" w:rsidP="003669BA">
            <w:pPr>
              <w:widowControl w:val="0"/>
              <w:ind w:left="34" w:hanging="21"/>
              <w:jc w:val="both"/>
            </w:pPr>
            <w:r w:rsidRPr="00224BC8">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568B3" w:rsidRPr="00224BC8" w:rsidRDefault="002568B3" w:rsidP="003669BA">
            <w:pPr>
              <w:widowControl w:val="0"/>
              <w:ind w:left="34" w:hanging="21"/>
              <w:jc w:val="both"/>
            </w:pPr>
            <w:r w:rsidRPr="00224BC8">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2568B3" w:rsidRPr="00224BC8" w:rsidRDefault="002568B3" w:rsidP="003669BA">
            <w:pPr>
              <w:widowControl w:val="0"/>
              <w:numPr>
                <w:ilvl w:val="0"/>
                <w:numId w:val="46"/>
              </w:numPr>
              <w:spacing w:line="228" w:lineRule="auto"/>
              <w:ind w:left="816" w:hanging="357"/>
              <w:jc w:val="both"/>
            </w:pPr>
            <w:r w:rsidRPr="00224BC8">
              <w:t xml:space="preserve">інформація та документи, що підтверджують відповідність учасника кваліфікаційним критеріям – подається учасником відповідно вимог наведених у  Додатку 2 цієї документації; </w:t>
            </w:r>
          </w:p>
          <w:p w:rsidR="002568B3" w:rsidRPr="00224BC8" w:rsidRDefault="002568B3" w:rsidP="003669BA">
            <w:pPr>
              <w:widowControl w:val="0"/>
              <w:numPr>
                <w:ilvl w:val="0"/>
                <w:numId w:val="46"/>
              </w:numPr>
              <w:spacing w:before="96" w:after="96" w:line="228" w:lineRule="auto"/>
              <w:ind w:left="816" w:hanging="357"/>
              <w:jc w:val="both"/>
            </w:pPr>
            <w:r w:rsidRPr="00224BC8">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3;</w:t>
            </w:r>
          </w:p>
          <w:p w:rsidR="002568B3" w:rsidRPr="00224BC8" w:rsidRDefault="002568B3" w:rsidP="003669BA">
            <w:pPr>
              <w:widowControl w:val="0"/>
              <w:numPr>
                <w:ilvl w:val="0"/>
                <w:numId w:val="46"/>
              </w:numPr>
              <w:spacing w:before="96" w:after="96" w:line="228" w:lineRule="auto"/>
              <w:ind w:left="816" w:hanging="357"/>
              <w:jc w:val="both"/>
            </w:pPr>
            <w:r w:rsidRPr="00224BC8">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4 цієї документації;</w:t>
            </w:r>
          </w:p>
          <w:p w:rsidR="002568B3" w:rsidRPr="00224BC8" w:rsidRDefault="002568B3" w:rsidP="003669BA">
            <w:pPr>
              <w:widowControl w:val="0"/>
              <w:numPr>
                <w:ilvl w:val="0"/>
                <w:numId w:val="46"/>
              </w:numPr>
              <w:spacing w:before="96" w:after="96" w:line="228" w:lineRule="auto"/>
              <w:ind w:left="816" w:hanging="357"/>
              <w:jc w:val="both"/>
            </w:pPr>
            <w:r w:rsidRPr="00224BC8">
              <w:t>інформація із погодженням з проектом договору, яка повинна бути оформлене Учасниками згідно з цією документацією та Додатком 5;</w:t>
            </w:r>
          </w:p>
          <w:p w:rsidR="002568B3" w:rsidRPr="00224BC8" w:rsidRDefault="002568B3" w:rsidP="003669BA">
            <w:pPr>
              <w:widowControl w:val="0"/>
              <w:numPr>
                <w:ilvl w:val="0"/>
                <w:numId w:val="46"/>
              </w:numPr>
              <w:spacing w:before="96" w:after="96" w:line="228" w:lineRule="auto"/>
              <w:ind w:left="816" w:hanging="357"/>
              <w:jc w:val="both"/>
            </w:pPr>
            <w:r w:rsidRPr="00224BC8">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6; </w:t>
            </w:r>
          </w:p>
          <w:p w:rsidR="002568B3" w:rsidRPr="00224BC8" w:rsidRDefault="002568B3" w:rsidP="003669BA">
            <w:pPr>
              <w:widowControl w:val="0"/>
              <w:numPr>
                <w:ilvl w:val="0"/>
                <w:numId w:val="46"/>
              </w:numPr>
              <w:spacing w:before="96" w:after="96" w:line="228" w:lineRule="auto"/>
              <w:ind w:left="816" w:hanging="357"/>
              <w:jc w:val="both"/>
            </w:pPr>
            <w:r w:rsidRPr="00224BC8">
              <w:t>форма пропозиції, яка повинна бути оформлена Учасниками згідно з цією документацією та умовами викладеними у Додатках 2 та 6;</w:t>
            </w:r>
          </w:p>
          <w:p w:rsidR="002568B3" w:rsidRPr="00224BC8" w:rsidRDefault="002568B3" w:rsidP="003669BA">
            <w:pPr>
              <w:widowControl w:val="0"/>
              <w:numPr>
                <w:ilvl w:val="0"/>
                <w:numId w:val="46"/>
              </w:numPr>
              <w:spacing w:before="96" w:after="96" w:line="228" w:lineRule="auto"/>
              <w:ind w:left="816" w:hanging="357"/>
              <w:jc w:val="both"/>
            </w:pPr>
            <w:r w:rsidRPr="00224BC8">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568B3" w:rsidRPr="00224BC8" w:rsidRDefault="002568B3" w:rsidP="003669BA">
            <w:pPr>
              <w:widowControl w:val="0"/>
              <w:numPr>
                <w:ilvl w:val="0"/>
                <w:numId w:val="46"/>
              </w:numPr>
              <w:spacing w:before="96" w:after="96" w:line="228" w:lineRule="auto"/>
              <w:ind w:left="816" w:hanging="357"/>
              <w:jc w:val="both"/>
            </w:pPr>
            <w:r w:rsidRPr="00224BC8">
              <w:t>інформація про субпідрядника/співвиконавця (субпідрядників/співвиконавців), якщо таке передбачено п.7 цього розділу  документації.</w:t>
            </w:r>
          </w:p>
          <w:p w:rsidR="002568B3" w:rsidRPr="00224BC8" w:rsidRDefault="002568B3" w:rsidP="003669BA">
            <w:pPr>
              <w:widowControl w:val="0"/>
              <w:spacing w:before="96" w:after="96"/>
              <w:jc w:val="both"/>
            </w:pPr>
            <w:r w:rsidRPr="00224BC8">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2568B3" w:rsidRPr="00224BC8" w:rsidRDefault="002568B3" w:rsidP="003669BA">
            <w:pPr>
              <w:widowControl w:val="0"/>
              <w:spacing w:before="96" w:after="96"/>
              <w:jc w:val="both"/>
            </w:pPr>
            <w:r w:rsidRPr="00224BC8">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2568B3" w:rsidRPr="00224BC8" w:rsidRDefault="002568B3" w:rsidP="003669BA">
            <w:pPr>
              <w:widowControl w:val="0"/>
              <w:spacing w:before="96" w:after="96"/>
              <w:jc w:val="both"/>
            </w:pPr>
            <w:r w:rsidRPr="00224BC8">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568B3" w:rsidRPr="00224BC8" w:rsidRDefault="002568B3" w:rsidP="003669BA">
            <w:pPr>
              <w:widowControl w:val="0"/>
              <w:spacing w:before="96" w:after="96"/>
              <w:jc w:val="both"/>
            </w:pPr>
            <w:r w:rsidRPr="00224BC8">
              <w:t>Учасник процедури закупівлі накладає кваліфікований електронний підпис (КЕП) на пропозицію у разі якщо:</w:t>
            </w:r>
          </w:p>
          <w:p w:rsidR="002568B3" w:rsidRPr="00224BC8" w:rsidRDefault="002568B3" w:rsidP="003669BA">
            <w:pPr>
              <w:widowControl w:val="0"/>
              <w:spacing w:before="96" w:after="96"/>
              <w:jc w:val="both"/>
            </w:pPr>
            <w:r w:rsidRPr="00224BC8">
              <w:t>- у складі тендерної пропозиції учасника надано хоча б один документ або інформацію, що виконано у вигляді окремого електронного файлу;</w:t>
            </w:r>
          </w:p>
          <w:p w:rsidR="002568B3" w:rsidRPr="00224BC8" w:rsidRDefault="002568B3" w:rsidP="003669BA">
            <w:pPr>
              <w:widowControl w:val="0"/>
              <w:spacing w:before="96" w:after="96"/>
              <w:jc w:val="both"/>
            </w:pPr>
            <w:r w:rsidRPr="00224BC8">
              <w:t xml:space="preserve">Учасник процедури закупівлі накладає кваліфікований електронний підпис (КЕП) на кожен електронний документ тендерної пропозиції окремо у разі якщо: </w:t>
            </w:r>
          </w:p>
          <w:p w:rsidR="002568B3" w:rsidRPr="00224BC8" w:rsidRDefault="002568B3" w:rsidP="003669BA">
            <w:pPr>
              <w:widowControl w:val="0"/>
              <w:spacing w:before="96" w:after="96"/>
              <w:jc w:val="both"/>
            </w:pPr>
            <w:r w:rsidRPr="00224BC8">
              <w:t xml:space="preserve">- документи або інформація в тендерній пропозиції виготовлено учасником та надано у формі електронних документів; </w:t>
            </w:r>
          </w:p>
          <w:p w:rsidR="002568B3" w:rsidRPr="00224BC8" w:rsidRDefault="002568B3" w:rsidP="003669BA">
            <w:pPr>
              <w:widowControl w:val="0"/>
              <w:spacing w:before="96" w:after="96"/>
              <w:jc w:val="both"/>
            </w:pPr>
            <w:r w:rsidRPr="00224BC8">
              <w:t>Учасник процедури закупівлі накладає кваліфікований електронний підпис (КЕП) на пропозицію в цілому та на кожен електронний документ окремо у разі якщо:</w:t>
            </w:r>
          </w:p>
          <w:p w:rsidR="002568B3" w:rsidRPr="00224BC8" w:rsidRDefault="002568B3" w:rsidP="003669BA">
            <w:pPr>
              <w:widowControl w:val="0"/>
              <w:spacing w:before="96" w:after="96"/>
              <w:jc w:val="both"/>
            </w:pPr>
            <w:r w:rsidRPr="00224BC8">
              <w:t xml:space="preserve">- тендерна пропозиція учасника містить як скановані, так і електронні документи та/або інформацію. </w:t>
            </w:r>
          </w:p>
          <w:p w:rsidR="002568B3" w:rsidRPr="00224BC8" w:rsidRDefault="002568B3" w:rsidP="003669BA">
            <w:pPr>
              <w:widowControl w:val="0"/>
              <w:spacing w:before="96" w:after="96"/>
              <w:jc w:val="both"/>
            </w:pPr>
            <w:r w:rsidRPr="00224BC8">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такої організації, накладання КЕП учасником на такі електронні документи не вимагається умовами тендерної документації. </w:t>
            </w:r>
          </w:p>
          <w:p w:rsidR="002568B3" w:rsidRPr="00224BC8" w:rsidRDefault="002568B3" w:rsidP="003669BA">
            <w:pPr>
              <w:widowControl w:val="0"/>
              <w:spacing w:before="96" w:after="96"/>
              <w:jc w:val="both"/>
            </w:pPr>
            <w:r w:rsidRPr="00224BC8">
              <w:t xml:space="preserve">Умовами тендерної документації передбачена перевірка Замовником кваліфікованого електронного підпису (КЕП) Учасника за допомогою ресурсу центрального засвідчувального органу за посиланням https://czo.gov.ua/verify. </w:t>
            </w:r>
          </w:p>
          <w:p w:rsidR="002568B3" w:rsidRPr="00224BC8" w:rsidRDefault="002568B3" w:rsidP="003669BA">
            <w:pPr>
              <w:widowControl w:val="0"/>
              <w:spacing w:before="96" w:after="96"/>
              <w:jc w:val="both"/>
            </w:pPr>
            <w:r w:rsidRPr="00224BC8">
              <w:t xml:space="preserve">В ході перевірки кваліфікованого електронного підпису КЕП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568B3" w:rsidRPr="00224BC8" w:rsidRDefault="002568B3" w:rsidP="003669BA">
            <w:pPr>
              <w:widowControl w:val="0"/>
              <w:spacing w:before="96" w:after="96"/>
              <w:jc w:val="both"/>
            </w:pPr>
            <w:r w:rsidRPr="00224BC8">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568B3" w:rsidRPr="00224BC8" w:rsidRDefault="002568B3" w:rsidP="003669BA">
            <w:pPr>
              <w:widowControl w:val="0"/>
              <w:spacing w:before="96" w:after="96"/>
              <w:jc w:val="both"/>
            </w:pPr>
            <w:r w:rsidRPr="00224BC8">
              <w:t xml:space="preserve">У разі відсутності даної інформації або у випадку відсутності КЕП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568B3" w:rsidRPr="00224BC8" w:rsidRDefault="002568B3" w:rsidP="003669BA">
            <w:pPr>
              <w:widowControl w:val="0"/>
              <w:spacing w:before="96" w:after="96"/>
              <w:jc w:val="both"/>
            </w:pPr>
            <w:r w:rsidRPr="00224BC8">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568B3" w:rsidRPr="00224BC8" w:rsidRDefault="002568B3" w:rsidP="003669BA">
            <w:pPr>
              <w:widowControl w:val="0"/>
              <w:spacing w:before="96" w:after="96"/>
              <w:jc w:val="both"/>
            </w:pPr>
            <w:r w:rsidRPr="00224BC8">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568B3" w:rsidRPr="00224BC8" w:rsidRDefault="002568B3" w:rsidP="003669BA">
            <w:pPr>
              <w:widowControl w:val="0"/>
              <w:spacing w:before="96" w:after="96"/>
              <w:jc w:val="both"/>
            </w:pPr>
            <w:r w:rsidRPr="00224BC8">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568B3" w:rsidRPr="00224BC8" w:rsidRDefault="002568B3" w:rsidP="003669BA">
            <w:pPr>
              <w:widowControl w:val="0"/>
              <w:spacing w:before="96" w:after="96"/>
              <w:jc w:val="both"/>
            </w:pPr>
            <w:r w:rsidRPr="00224BC8">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568B3" w:rsidRPr="00224BC8" w:rsidRDefault="002568B3" w:rsidP="003669BA">
            <w:pPr>
              <w:widowControl w:val="0"/>
              <w:spacing w:before="96" w:after="96"/>
              <w:ind w:left="34" w:hanging="21"/>
              <w:jc w:val="both"/>
            </w:pPr>
            <w:r w:rsidRPr="00224BC8">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568B3" w:rsidRPr="00224BC8" w:rsidRDefault="002568B3" w:rsidP="003669BA">
            <w:pPr>
              <w:widowControl w:val="0"/>
              <w:spacing w:before="96" w:after="96"/>
              <w:ind w:left="34" w:hanging="21"/>
              <w:jc w:val="both"/>
            </w:pPr>
            <w:r w:rsidRPr="00224BC8">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568B3" w:rsidRPr="00224BC8" w:rsidRDefault="002568B3" w:rsidP="003669BA">
            <w:pPr>
              <w:widowControl w:val="0"/>
              <w:ind w:left="261"/>
              <w:jc w:val="both"/>
            </w:pPr>
            <w:r w:rsidRPr="00224BC8">
              <w:t>1) інформація/документ, яку(ий) подано учасником процедури закупівлі у складі тендерної пропозиції, містить помилку (помилки) у частині:</w:t>
            </w:r>
          </w:p>
          <w:p w:rsidR="002568B3" w:rsidRPr="00224BC8" w:rsidRDefault="002568B3" w:rsidP="003669BA">
            <w:pPr>
              <w:widowControl w:val="0"/>
              <w:ind w:left="261"/>
              <w:jc w:val="both"/>
            </w:pPr>
            <w:r w:rsidRPr="00224BC8">
              <w:t>- уживання великої літери;</w:t>
            </w:r>
          </w:p>
          <w:p w:rsidR="002568B3" w:rsidRPr="00224BC8" w:rsidRDefault="002568B3" w:rsidP="003669BA">
            <w:pPr>
              <w:widowControl w:val="0"/>
              <w:ind w:left="261"/>
              <w:jc w:val="both"/>
            </w:pPr>
            <w:r w:rsidRPr="00224BC8">
              <w:t>- уживання розділових знаків та відмінювання слів у реченні;</w:t>
            </w:r>
          </w:p>
          <w:p w:rsidR="002568B3" w:rsidRPr="00224BC8" w:rsidRDefault="002568B3" w:rsidP="003669BA">
            <w:pPr>
              <w:widowControl w:val="0"/>
              <w:ind w:left="261"/>
              <w:jc w:val="both"/>
            </w:pPr>
            <w:r w:rsidRPr="00224BC8">
              <w:t>- використання слова або мовного звороту, запозичених з іншої мови;</w:t>
            </w:r>
          </w:p>
          <w:p w:rsidR="002568B3" w:rsidRPr="00224BC8" w:rsidRDefault="002568B3" w:rsidP="003669BA">
            <w:pPr>
              <w:widowControl w:val="0"/>
              <w:ind w:left="261"/>
              <w:jc w:val="both"/>
            </w:pPr>
            <w:r w:rsidRPr="00224BC8">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68B3" w:rsidRPr="00224BC8" w:rsidRDefault="002568B3" w:rsidP="003669BA">
            <w:pPr>
              <w:widowControl w:val="0"/>
              <w:ind w:left="261"/>
              <w:jc w:val="both"/>
            </w:pPr>
            <w:r w:rsidRPr="00224BC8">
              <w:t>- застосування правил переносу частини слова з рядка в рядок;</w:t>
            </w:r>
          </w:p>
          <w:p w:rsidR="002568B3" w:rsidRPr="00224BC8" w:rsidRDefault="002568B3" w:rsidP="003669BA">
            <w:pPr>
              <w:widowControl w:val="0"/>
              <w:ind w:left="261"/>
              <w:jc w:val="both"/>
            </w:pPr>
            <w:r w:rsidRPr="00224BC8">
              <w:t>- написання слів разом та/або окремо, та/або через дефіс;</w:t>
            </w:r>
          </w:p>
          <w:p w:rsidR="002568B3" w:rsidRPr="00224BC8" w:rsidRDefault="002568B3" w:rsidP="003669BA">
            <w:pPr>
              <w:widowControl w:val="0"/>
              <w:ind w:left="261"/>
              <w:jc w:val="both"/>
            </w:pPr>
            <w:r w:rsidRPr="00224BC8">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68B3" w:rsidRPr="00224BC8" w:rsidRDefault="002568B3" w:rsidP="003669BA">
            <w:pPr>
              <w:widowControl w:val="0"/>
              <w:spacing w:before="96" w:after="96"/>
              <w:ind w:left="259"/>
              <w:jc w:val="both"/>
            </w:pPr>
            <w:r w:rsidRPr="00224BC8">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68B3" w:rsidRPr="00224BC8" w:rsidRDefault="002568B3" w:rsidP="003669BA">
            <w:pPr>
              <w:widowControl w:val="0"/>
              <w:spacing w:before="96" w:after="96"/>
              <w:ind w:left="259"/>
              <w:jc w:val="both"/>
            </w:pPr>
            <w:r w:rsidRPr="00224BC8">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68B3" w:rsidRPr="00224BC8" w:rsidRDefault="002568B3" w:rsidP="003669BA">
            <w:pPr>
              <w:widowControl w:val="0"/>
              <w:spacing w:before="96" w:after="96"/>
              <w:ind w:left="259"/>
              <w:jc w:val="both"/>
            </w:pPr>
            <w:r w:rsidRPr="00224BC8">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68B3" w:rsidRPr="00224BC8" w:rsidRDefault="002568B3" w:rsidP="003669BA">
            <w:pPr>
              <w:widowControl w:val="0"/>
              <w:spacing w:before="96" w:after="96"/>
              <w:ind w:left="259"/>
              <w:jc w:val="both"/>
            </w:pPr>
            <w:r w:rsidRPr="00224BC8">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68B3" w:rsidRPr="00224BC8" w:rsidRDefault="002568B3" w:rsidP="003669BA">
            <w:pPr>
              <w:widowControl w:val="0"/>
              <w:spacing w:before="96" w:after="96"/>
              <w:ind w:left="259"/>
              <w:jc w:val="both"/>
            </w:pPr>
            <w:r w:rsidRPr="00224BC8">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68B3" w:rsidRPr="00224BC8" w:rsidRDefault="002568B3" w:rsidP="003669BA">
            <w:pPr>
              <w:widowControl w:val="0"/>
              <w:spacing w:before="96" w:after="96"/>
              <w:ind w:left="259"/>
              <w:jc w:val="both"/>
            </w:pPr>
            <w:r w:rsidRPr="00224BC8">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68B3" w:rsidRPr="00224BC8" w:rsidRDefault="002568B3" w:rsidP="003669BA">
            <w:pPr>
              <w:widowControl w:val="0"/>
              <w:spacing w:before="96" w:after="96"/>
              <w:ind w:left="259"/>
              <w:jc w:val="both"/>
            </w:pPr>
            <w:r w:rsidRPr="00224BC8">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68B3" w:rsidRPr="00224BC8" w:rsidRDefault="002568B3" w:rsidP="003669BA">
            <w:pPr>
              <w:widowControl w:val="0"/>
              <w:spacing w:before="96" w:after="96"/>
              <w:ind w:left="259"/>
              <w:jc w:val="both"/>
            </w:pPr>
            <w:r w:rsidRPr="00224BC8">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68B3" w:rsidRPr="00224BC8" w:rsidRDefault="002568B3" w:rsidP="003669BA">
            <w:pPr>
              <w:widowControl w:val="0"/>
              <w:spacing w:before="96" w:after="96"/>
              <w:ind w:left="259"/>
              <w:jc w:val="both"/>
            </w:pPr>
            <w:r w:rsidRPr="00224BC8">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68B3" w:rsidRPr="00224BC8" w:rsidRDefault="002568B3" w:rsidP="003669BA">
            <w:pPr>
              <w:widowControl w:val="0"/>
              <w:spacing w:before="96" w:after="96"/>
              <w:ind w:left="259"/>
              <w:jc w:val="both"/>
            </w:pPr>
            <w:r w:rsidRPr="00224BC8">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68B3" w:rsidRPr="00224BC8" w:rsidRDefault="002568B3" w:rsidP="003669BA">
            <w:pPr>
              <w:widowControl w:val="0"/>
              <w:spacing w:before="96" w:after="96"/>
              <w:ind w:left="259"/>
              <w:jc w:val="both"/>
            </w:pPr>
            <w:r w:rsidRPr="00224BC8">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68B3" w:rsidRPr="00224BC8" w:rsidRDefault="002568B3" w:rsidP="003669BA">
            <w:pPr>
              <w:widowControl w:val="0"/>
              <w:spacing w:before="96" w:after="96"/>
              <w:jc w:val="both"/>
            </w:pPr>
            <w:r w:rsidRPr="00224BC8">
              <w:t>Помилки, що пов’язані з оформленням тендерної пропозиції та впливають на зміст пропозиції, які не вважаються формальними, зокрема:</w:t>
            </w:r>
          </w:p>
          <w:p w:rsidR="002568B3" w:rsidRPr="00224BC8" w:rsidRDefault="002568B3" w:rsidP="003669BA">
            <w:pPr>
              <w:widowControl w:val="0"/>
              <w:spacing w:before="96" w:after="96"/>
              <w:ind w:left="259"/>
              <w:jc w:val="both"/>
            </w:pPr>
            <w:r w:rsidRPr="00224BC8">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568B3" w:rsidRPr="00224BC8" w:rsidRDefault="002568B3" w:rsidP="003669BA">
            <w:pPr>
              <w:widowControl w:val="0"/>
              <w:spacing w:before="96" w:after="96"/>
              <w:ind w:left="259"/>
              <w:jc w:val="both"/>
            </w:pPr>
            <w:r w:rsidRPr="00224BC8">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568B3" w:rsidRPr="00224BC8" w:rsidRDefault="002568B3" w:rsidP="003669BA">
            <w:pPr>
              <w:widowControl w:val="0"/>
              <w:spacing w:before="96" w:after="96"/>
              <w:ind w:left="259"/>
              <w:jc w:val="both"/>
            </w:pPr>
            <w:r w:rsidRPr="00224BC8">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568B3" w:rsidRPr="00224BC8" w:rsidRDefault="002568B3" w:rsidP="003669BA">
            <w:pPr>
              <w:widowControl w:val="0"/>
              <w:spacing w:before="96" w:after="96"/>
              <w:ind w:left="259"/>
              <w:jc w:val="both"/>
            </w:pPr>
            <w:r w:rsidRPr="00224BC8">
              <w:t>- надані учасником у складі тендерної пропозиції  електронні документи зашифровані або захищені для загального доступу паролем;</w:t>
            </w:r>
          </w:p>
          <w:p w:rsidR="002568B3" w:rsidRPr="00224BC8" w:rsidRDefault="002568B3" w:rsidP="003669BA">
            <w:pPr>
              <w:widowControl w:val="0"/>
              <w:spacing w:before="96" w:after="96"/>
              <w:ind w:left="259"/>
              <w:jc w:val="both"/>
            </w:pPr>
            <w:r w:rsidRPr="00224BC8">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2568B3" w:rsidRPr="00224BC8" w:rsidRDefault="002568B3" w:rsidP="003669BA">
            <w:pPr>
              <w:widowControl w:val="0"/>
              <w:spacing w:before="96" w:after="96"/>
              <w:ind w:left="259"/>
              <w:jc w:val="both"/>
            </w:pPr>
            <w:r w:rsidRPr="00224BC8">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568B3" w:rsidRPr="00224BC8" w:rsidRDefault="002568B3" w:rsidP="003669BA">
            <w:pPr>
              <w:widowControl w:val="0"/>
              <w:spacing w:before="96" w:after="96"/>
              <w:ind w:left="259"/>
              <w:jc w:val="both"/>
            </w:pPr>
            <w:r w:rsidRPr="00224BC8">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568B3" w:rsidRPr="00224BC8" w:rsidRDefault="002568B3" w:rsidP="003669BA">
            <w:pPr>
              <w:widowControl w:val="0"/>
              <w:spacing w:before="96" w:after="96"/>
              <w:ind w:left="34" w:hanging="21"/>
              <w:jc w:val="both"/>
            </w:pPr>
            <w:r w:rsidRPr="00224BC8">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568B3" w:rsidRPr="00224BC8" w:rsidRDefault="002568B3" w:rsidP="003669BA">
            <w:pPr>
              <w:spacing w:after="120"/>
              <w:jc w:val="both"/>
            </w:pPr>
            <w:r w:rsidRPr="00224BC8">
              <w:t>За підроблення документів Учасник несе кримінальну відповідальність згідно статті 358 Кримінального кодексу України.</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12" w:name="_Toc410576441"/>
            <w:r w:rsidRPr="00224BC8">
              <w:rPr>
                <w:b/>
                <w:lang w:eastAsia="en-US"/>
              </w:rPr>
              <w:t>2. Забезпечення тендерної пропозиції</w:t>
            </w:r>
            <w:bookmarkEnd w:id="12"/>
          </w:p>
        </w:tc>
        <w:tc>
          <w:tcPr>
            <w:tcW w:w="7446" w:type="dxa"/>
          </w:tcPr>
          <w:p w:rsidR="002568B3" w:rsidRPr="00224BC8" w:rsidRDefault="002568B3" w:rsidP="00727CAA">
            <w:pPr>
              <w:spacing w:after="120"/>
              <w:jc w:val="both"/>
            </w:pPr>
            <w:r w:rsidRPr="00224BC8">
              <w:t>Умовами тендерної документації не передбачено надання учасниками забезпечення тендерної пропозиції.</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13" w:name="_Toc410576442"/>
            <w:r w:rsidRPr="00224BC8">
              <w:rPr>
                <w:b/>
                <w:lang w:eastAsia="en-US"/>
              </w:rPr>
              <w:t>3. Умови повернення чи неповернення забезпечення тендерної пропозиції</w:t>
            </w:r>
            <w:bookmarkEnd w:id="13"/>
          </w:p>
        </w:tc>
        <w:tc>
          <w:tcPr>
            <w:tcW w:w="7446" w:type="dxa"/>
          </w:tcPr>
          <w:p w:rsidR="002568B3" w:rsidRPr="00224BC8" w:rsidRDefault="002568B3" w:rsidP="00152A8D">
            <w:pPr>
              <w:spacing w:after="120"/>
              <w:jc w:val="both"/>
            </w:pPr>
            <w:r w:rsidRPr="00224BC8">
              <w:t>Умовами тендерної документації не передбачено надання учасниками забезпечення тендерної пропозиції.</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14" w:name="_Toc410576443"/>
            <w:r w:rsidRPr="00224BC8">
              <w:rPr>
                <w:b/>
                <w:lang w:eastAsia="en-US"/>
              </w:rPr>
              <w:t>4. Строк, протягом якого тендерні пропозиції є дійсними</w:t>
            </w:r>
            <w:bookmarkEnd w:id="14"/>
          </w:p>
        </w:tc>
        <w:tc>
          <w:tcPr>
            <w:tcW w:w="7446" w:type="dxa"/>
          </w:tcPr>
          <w:p w:rsidR="002568B3" w:rsidRPr="00224BC8" w:rsidRDefault="002568B3" w:rsidP="00F0518F">
            <w:pPr>
              <w:widowControl w:val="0"/>
              <w:spacing w:before="48"/>
              <w:jc w:val="both"/>
            </w:pPr>
            <w:r w:rsidRPr="00224BC8">
              <w:t xml:space="preserve">Тендерні пропозиції вважаються дійсними протягом </w:t>
            </w:r>
            <w:r w:rsidRPr="00224BC8">
              <w:rPr>
                <w:b/>
                <w:bCs/>
              </w:rPr>
              <w:t>90</w:t>
            </w:r>
            <w:r w:rsidRPr="00224BC8">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68B3" w:rsidRPr="00224BC8" w:rsidRDefault="002568B3" w:rsidP="00F0518F">
            <w:pPr>
              <w:widowControl w:val="0"/>
              <w:spacing w:before="48"/>
              <w:jc w:val="both"/>
            </w:pPr>
            <w:r w:rsidRPr="00224BC8">
              <w:t>1) відхилити таку вимогу, не втрачаючи при цьому наданого ним забезпечення тендерної пропозиції; або</w:t>
            </w:r>
          </w:p>
          <w:p w:rsidR="002568B3" w:rsidRPr="00224BC8" w:rsidRDefault="002568B3" w:rsidP="00F0518F">
            <w:pPr>
              <w:spacing w:after="120"/>
              <w:jc w:val="both"/>
            </w:pPr>
            <w:r w:rsidRPr="00224BC8">
              <w:t>2) погодитися з вимогою та продовжити строк дії поданої ним тендерної пропозиції і наданого забезпечення тендерної пропозиції</w:t>
            </w:r>
          </w:p>
        </w:tc>
      </w:tr>
      <w:tr w:rsidR="002568B3" w:rsidRPr="00224BC8" w:rsidTr="00210955">
        <w:trPr>
          <w:trHeight w:val="20"/>
          <w:jc w:val="center"/>
        </w:trPr>
        <w:tc>
          <w:tcPr>
            <w:tcW w:w="2692" w:type="dxa"/>
          </w:tcPr>
          <w:p w:rsidR="002568B3" w:rsidRPr="00224BC8" w:rsidRDefault="002568B3" w:rsidP="007E062F">
            <w:pPr>
              <w:spacing w:after="120"/>
              <w:outlineLvl w:val="1"/>
              <w:rPr>
                <w:b/>
                <w:lang w:eastAsia="en-US"/>
              </w:rPr>
            </w:pPr>
            <w:bookmarkStart w:id="15" w:name="_Toc410576444"/>
            <w:r w:rsidRPr="00224BC8">
              <w:rPr>
                <w:b/>
                <w:lang w:eastAsia="en-US"/>
              </w:rPr>
              <w:t>5. Кваліфікаційні критерії до учасників та вимоги, установлені статтями 16 та 17 Закону</w:t>
            </w:r>
            <w:bookmarkEnd w:id="15"/>
          </w:p>
        </w:tc>
        <w:tc>
          <w:tcPr>
            <w:tcW w:w="7446" w:type="dxa"/>
          </w:tcPr>
          <w:p w:rsidR="002568B3" w:rsidRPr="00224BC8" w:rsidRDefault="002568B3" w:rsidP="00A46CD1">
            <w:pPr>
              <w:spacing w:after="120"/>
              <w:jc w:val="both"/>
            </w:pPr>
            <w:r w:rsidRPr="00224BC8">
              <w:t>Вимоги установлені згідно зі статтями 16 та 17 Закону, та інформація про спосіб підтвердження відповідності учасників установленим вимогам згідно із чинним законодавством визначені у Додатках 4,  8, 9 тендерної документації. У відповідності до зазначених додатків учасник подає, як частину своєї тендерної пропозиції, документи та інформація,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16" w:name="_Toc410576445"/>
            <w:r w:rsidRPr="00224BC8">
              <w:rPr>
                <w:b/>
                <w:lang w:eastAsia="en-US"/>
              </w:rPr>
              <w:t>6. Інформація про технічні, якісні та кількісні характеристики предмета закупівлі</w:t>
            </w:r>
            <w:bookmarkEnd w:id="16"/>
          </w:p>
        </w:tc>
        <w:tc>
          <w:tcPr>
            <w:tcW w:w="7446" w:type="dxa"/>
          </w:tcPr>
          <w:p w:rsidR="002568B3" w:rsidRPr="00224BC8" w:rsidRDefault="002568B3" w:rsidP="00ED1CFC">
            <w:pPr>
              <w:widowControl w:val="0"/>
              <w:spacing w:before="48"/>
              <w:jc w:val="both"/>
            </w:pPr>
            <w:r w:rsidRPr="00224BC8">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Додатках 1 та 6 тендерної документації.</w:t>
            </w:r>
          </w:p>
          <w:p w:rsidR="002568B3" w:rsidRPr="00224BC8" w:rsidRDefault="002568B3" w:rsidP="00DD1F32">
            <w:pPr>
              <w:widowControl w:val="0"/>
              <w:spacing w:before="48"/>
              <w:jc w:val="both"/>
            </w:pPr>
            <w:r w:rsidRPr="00224BC8">
              <w:t>У Додатку 6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2568B3" w:rsidRPr="00224BC8" w:rsidRDefault="002568B3" w:rsidP="00DD1F32">
            <w:pPr>
              <w:widowControl w:val="0"/>
              <w:spacing w:before="48"/>
              <w:jc w:val="both"/>
            </w:pPr>
            <w:r w:rsidRPr="00224BC8">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2568B3" w:rsidRPr="00224BC8" w:rsidRDefault="002568B3" w:rsidP="00DD1F32">
            <w:pPr>
              <w:widowControl w:val="0"/>
              <w:spacing w:before="48"/>
              <w:jc w:val="both"/>
            </w:pPr>
            <w:r w:rsidRPr="00224BC8">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r w:rsidRPr="00224BC8">
              <w:rPr>
                <w:b/>
              </w:rPr>
              <w:t>7. Інформація про субпідрядника (у випадку закупівлі робіт)</w:t>
            </w:r>
          </w:p>
        </w:tc>
        <w:tc>
          <w:tcPr>
            <w:tcW w:w="7446" w:type="dxa"/>
          </w:tcPr>
          <w:p w:rsidR="002568B3" w:rsidRPr="00224BC8" w:rsidRDefault="002568B3" w:rsidP="00DD1F32">
            <w:pPr>
              <w:widowControl w:val="0"/>
              <w:spacing w:before="48"/>
              <w:jc w:val="both"/>
            </w:pPr>
            <w:r w:rsidRPr="00224BC8">
              <w:t>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2568B3" w:rsidRPr="00224BC8" w:rsidRDefault="002568B3" w:rsidP="002B3A3F">
            <w:pPr>
              <w:widowControl w:val="0"/>
              <w:spacing w:before="48"/>
              <w:jc w:val="both"/>
            </w:pPr>
            <w:r w:rsidRPr="00224BC8">
              <w:t>У разі залучення субпідрядної(их) організації(й)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10 тендерної документації, документи щодо кожного суб’єкта господарювання, якого Учасник планує залучати до виконання робіт як субпідрядника</w:t>
            </w:r>
          </w:p>
        </w:tc>
      </w:tr>
      <w:tr w:rsidR="002568B3" w:rsidRPr="00224BC8" w:rsidTr="004851DE">
        <w:trPr>
          <w:trHeight w:val="20"/>
          <w:jc w:val="center"/>
        </w:trPr>
        <w:tc>
          <w:tcPr>
            <w:tcW w:w="2692" w:type="dxa"/>
          </w:tcPr>
          <w:p w:rsidR="002568B3" w:rsidRPr="00224BC8" w:rsidRDefault="002568B3" w:rsidP="004851DE">
            <w:pPr>
              <w:spacing w:after="120"/>
              <w:outlineLvl w:val="1"/>
              <w:rPr>
                <w:b/>
                <w:lang w:eastAsia="en-US"/>
              </w:rPr>
            </w:pPr>
            <w:bookmarkStart w:id="17" w:name="_Toc410576448"/>
            <w:r w:rsidRPr="00224BC8">
              <w:rPr>
                <w:b/>
              </w:rPr>
              <w:t>8. Унесення змін або відкликання тендерної пропозиції учасником</w:t>
            </w:r>
            <w:bookmarkEnd w:id="17"/>
          </w:p>
        </w:tc>
        <w:tc>
          <w:tcPr>
            <w:tcW w:w="7446" w:type="dxa"/>
          </w:tcPr>
          <w:p w:rsidR="002568B3" w:rsidRPr="00224BC8" w:rsidRDefault="002568B3" w:rsidP="004851DE">
            <w:pPr>
              <w:spacing w:after="120"/>
              <w:jc w:val="both"/>
            </w:pPr>
            <w:r w:rsidRPr="00224BC8">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rPr>
                <w:b/>
              </w:rPr>
            </w:pPr>
            <w:bookmarkStart w:id="18" w:name="_Toc410576449"/>
            <w:r w:rsidRPr="00224BC8">
              <w:rPr>
                <w:b/>
              </w:rPr>
              <w:t>Розділ IV. Подання та розкриття тендерних пропозицій</w:t>
            </w:r>
            <w:bookmarkEnd w:id="18"/>
          </w:p>
        </w:tc>
      </w:tr>
      <w:tr w:rsidR="002568B3" w:rsidRPr="00224BC8" w:rsidTr="007E062F">
        <w:trPr>
          <w:trHeight w:val="20"/>
          <w:jc w:val="center"/>
        </w:trPr>
        <w:tc>
          <w:tcPr>
            <w:tcW w:w="2692" w:type="dxa"/>
          </w:tcPr>
          <w:p w:rsidR="002568B3" w:rsidRPr="00224BC8" w:rsidRDefault="002568B3" w:rsidP="007E062F">
            <w:pPr>
              <w:spacing w:after="120"/>
              <w:outlineLvl w:val="2"/>
              <w:rPr>
                <w:b/>
                <w:lang w:eastAsia="en-US"/>
              </w:rPr>
            </w:pPr>
            <w:bookmarkStart w:id="19" w:name="_Toc410576450"/>
            <w:r w:rsidRPr="00224BC8">
              <w:rPr>
                <w:b/>
                <w:lang w:eastAsia="en-US"/>
              </w:rPr>
              <w:t>1. </w:t>
            </w:r>
            <w:bookmarkEnd w:id="19"/>
            <w:r w:rsidRPr="00224BC8">
              <w:rPr>
                <w:b/>
                <w:lang w:eastAsia="en-US"/>
              </w:rPr>
              <w:t>Кінцевий строк подання тендерної пропозиції</w:t>
            </w:r>
          </w:p>
        </w:tc>
        <w:tc>
          <w:tcPr>
            <w:tcW w:w="7446" w:type="dxa"/>
          </w:tcPr>
          <w:p w:rsidR="002568B3" w:rsidRPr="00224BC8" w:rsidRDefault="002568B3" w:rsidP="007E062F">
            <w:pPr>
              <w:spacing w:after="120"/>
              <w:jc w:val="both"/>
              <w:rPr>
                <w:b/>
              </w:rPr>
            </w:pPr>
            <w:r w:rsidRPr="00224BC8">
              <w:t>Кінцевий строк подання тендерних пропозицій – не менше 15 днів з дати оприлюднення в електронній системі закупівель оголошення про проведення відкритих торгів. Кінцевий термін подання тендерних пропозицій зазначається в оголошенні про проведення відкритих торгів.</w:t>
            </w:r>
          </w:p>
          <w:p w:rsidR="002568B3" w:rsidRPr="00224BC8" w:rsidRDefault="002568B3" w:rsidP="007E062F">
            <w:pPr>
              <w:spacing w:after="120"/>
              <w:jc w:val="both"/>
            </w:pPr>
            <w:r w:rsidRPr="00224BC8">
              <w:t>Отримана тендерна пропозиція автоматично вноситься до реєстру отриманих тендерних пропозицій.</w:t>
            </w:r>
          </w:p>
          <w:p w:rsidR="002568B3" w:rsidRPr="00224BC8" w:rsidRDefault="002568B3" w:rsidP="007E062F">
            <w:pPr>
              <w:spacing w:after="120"/>
              <w:jc w:val="both"/>
            </w:pPr>
            <w:r w:rsidRPr="00224BC8">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568B3" w:rsidRPr="00224BC8" w:rsidRDefault="002568B3" w:rsidP="007E062F">
            <w:pPr>
              <w:spacing w:after="120"/>
              <w:jc w:val="both"/>
            </w:pPr>
            <w:r w:rsidRPr="00224BC8">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568B3" w:rsidRPr="00224BC8" w:rsidTr="007E062F">
        <w:trPr>
          <w:trHeight w:val="20"/>
          <w:jc w:val="center"/>
        </w:trPr>
        <w:tc>
          <w:tcPr>
            <w:tcW w:w="2692" w:type="dxa"/>
          </w:tcPr>
          <w:p w:rsidR="002568B3" w:rsidRPr="00224BC8" w:rsidRDefault="002568B3" w:rsidP="007E062F">
            <w:pPr>
              <w:spacing w:after="120"/>
              <w:outlineLvl w:val="2"/>
              <w:rPr>
                <w:b/>
                <w:bCs/>
                <w:lang w:eastAsia="en-US"/>
              </w:rPr>
            </w:pPr>
            <w:bookmarkStart w:id="20" w:name="_Toc410576451"/>
            <w:r w:rsidRPr="00224BC8">
              <w:rPr>
                <w:b/>
                <w:lang w:eastAsia="en-US"/>
              </w:rPr>
              <w:t xml:space="preserve">2. </w:t>
            </w:r>
            <w:bookmarkEnd w:id="20"/>
            <w:r w:rsidRPr="00224BC8">
              <w:rPr>
                <w:b/>
                <w:bCs/>
                <w:lang w:eastAsia="en-US"/>
              </w:rPr>
              <w:t>Дата та час розкриття тендерної пропозиції</w:t>
            </w:r>
          </w:p>
        </w:tc>
        <w:tc>
          <w:tcPr>
            <w:tcW w:w="7446" w:type="dxa"/>
          </w:tcPr>
          <w:p w:rsidR="002568B3" w:rsidRPr="00224BC8" w:rsidRDefault="002568B3" w:rsidP="007E062F">
            <w:pPr>
              <w:spacing w:after="120"/>
              <w:jc w:val="both"/>
              <w:rPr>
                <w:szCs w:val="28"/>
              </w:rPr>
            </w:pPr>
            <w:r w:rsidRPr="00224BC8">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rPr>
                <w:b/>
              </w:rPr>
            </w:pPr>
            <w:bookmarkStart w:id="21" w:name="_Toc410576452"/>
            <w:r w:rsidRPr="00224BC8">
              <w:rPr>
                <w:b/>
              </w:rPr>
              <w:t>Розділ V. Оцінка тендерної пропозиці</w:t>
            </w:r>
            <w:bookmarkEnd w:id="21"/>
            <w:r w:rsidRPr="00224BC8">
              <w:rPr>
                <w:b/>
              </w:rPr>
              <w:t>ї</w:t>
            </w:r>
          </w:p>
        </w:tc>
      </w:tr>
      <w:tr w:rsidR="002568B3" w:rsidRPr="00224BC8" w:rsidTr="007E062F">
        <w:trPr>
          <w:trHeight w:val="20"/>
          <w:jc w:val="center"/>
        </w:trPr>
        <w:tc>
          <w:tcPr>
            <w:tcW w:w="2692" w:type="dxa"/>
          </w:tcPr>
          <w:p w:rsidR="002568B3" w:rsidRPr="00224BC8" w:rsidRDefault="002568B3" w:rsidP="007E062F">
            <w:pPr>
              <w:spacing w:after="120"/>
              <w:outlineLvl w:val="1"/>
              <w:rPr>
                <w:b/>
              </w:rPr>
            </w:pPr>
            <w:bookmarkStart w:id="22" w:name="_Toc410576453"/>
            <w:r w:rsidRPr="00224BC8">
              <w:rPr>
                <w:b/>
              </w:rPr>
              <w:t>1. Перелік критеріїв та методика оцінки тендерної пропозиції із зазначенням питомої ваги критерію</w:t>
            </w:r>
            <w:bookmarkEnd w:id="22"/>
          </w:p>
        </w:tc>
        <w:tc>
          <w:tcPr>
            <w:tcW w:w="7446" w:type="dxa"/>
          </w:tcPr>
          <w:p w:rsidR="002568B3" w:rsidRPr="00224BC8" w:rsidRDefault="002568B3" w:rsidP="00E25FF6">
            <w:pPr>
              <w:spacing w:after="120"/>
              <w:jc w:val="both"/>
              <w:rPr>
                <w:bCs/>
              </w:rPr>
            </w:pPr>
            <w:r w:rsidRPr="00224BC8">
              <w:rPr>
                <w:bCs/>
              </w:rPr>
              <w:t>Єдиним критерієм оцінки тендерних пропозицій є «</w:t>
            </w:r>
            <w:r w:rsidRPr="00224BC8">
              <w:rPr>
                <w:b/>
                <w:bCs/>
                <w:i/>
              </w:rPr>
              <w:t>Вартість тендерної пропозиції</w:t>
            </w:r>
            <w:r w:rsidRPr="00224BC8">
              <w:rPr>
                <w:bCs/>
              </w:rPr>
              <w:t>».</w:t>
            </w:r>
          </w:p>
          <w:p w:rsidR="002568B3" w:rsidRPr="00224BC8" w:rsidRDefault="002568B3" w:rsidP="00A46F06">
            <w:pPr>
              <w:widowControl w:val="0"/>
              <w:tabs>
                <w:tab w:val="left" w:pos="6199"/>
              </w:tabs>
              <w:spacing w:before="120" w:after="120"/>
              <w:jc w:val="both"/>
            </w:pPr>
            <w:r w:rsidRPr="00224BC8">
              <w:t>Замовником визначаються критерії та методика оцінки відповідно до частини першої статті 29 Закону.</w:t>
            </w:r>
          </w:p>
          <w:p w:rsidR="002568B3" w:rsidRPr="00224BC8" w:rsidRDefault="002568B3" w:rsidP="00A46F06">
            <w:pPr>
              <w:widowControl w:val="0"/>
              <w:tabs>
                <w:tab w:val="left" w:pos="6199"/>
              </w:tabs>
              <w:spacing w:before="120" w:after="120"/>
              <w:jc w:val="both"/>
            </w:pPr>
            <w:r w:rsidRPr="00224BC8">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568B3" w:rsidRPr="00224BC8" w:rsidRDefault="002568B3" w:rsidP="00A46F06">
            <w:pPr>
              <w:widowControl w:val="0"/>
              <w:tabs>
                <w:tab w:val="left" w:pos="6199"/>
              </w:tabs>
              <w:spacing w:before="120" w:after="120"/>
              <w:jc w:val="both"/>
            </w:pPr>
            <w:r w:rsidRPr="00224BC8">
              <w:t>Оцінка тендерної пропозиції здійснюється на основі одного критерію:</w:t>
            </w:r>
            <w:r w:rsidRPr="00224BC8">
              <w:rPr>
                <w:b/>
                <w:bCs/>
              </w:rPr>
              <w:t xml:space="preserve"> ціна </w:t>
            </w:r>
            <w:r w:rsidRPr="00224BC8">
              <w:t>(питома вага критерію становить 100%).</w:t>
            </w:r>
          </w:p>
          <w:p w:rsidR="002568B3" w:rsidRPr="00224BC8" w:rsidRDefault="002568B3" w:rsidP="00A46F06">
            <w:pPr>
              <w:widowControl w:val="0"/>
              <w:tabs>
                <w:tab w:val="left" w:pos="6199"/>
              </w:tabs>
              <w:spacing w:before="120" w:after="120"/>
              <w:jc w:val="both"/>
            </w:pPr>
            <w:r w:rsidRPr="00224BC8">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2568B3" w:rsidRPr="00224BC8" w:rsidRDefault="002568B3" w:rsidP="00A46F06">
            <w:pPr>
              <w:widowControl w:val="0"/>
              <w:tabs>
                <w:tab w:val="left" w:pos="6199"/>
              </w:tabs>
              <w:spacing w:before="120" w:after="120"/>
              <w:jc w:val="both"/>
            </w:pPr>
            <w:r w:rsidRPr="00224BC8">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568B3" w:rsidRPr="00224BC8" w:rsidRDefault="002568B3" w:rsidP="00A46F06">
            <w:pPr>
              <w:widowControl w:val="0"/>
              <w:tabs>
                <w:tab w:val="left" w:pos="6199"/>
              </w:tabs>
              <w:spacing w:before="120" w:after="120"/>
              <w:jc w:val="both"/>
            </w:pPr>
            <w:r w:rsidRPr="00224BC8">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568B3" w:rsidRPr="00224BC8" w:rsidRDefault="002568B3" w:rsidP="00A46F06">
            <w:pPr>
              <w:widowControl w:val="0"/>
              <w:tabs>
                <w:tab w:val="left" w:pos="6199"/>
              </w:tabs>
              <w:spacing w:before="120" w:after="120"/>
              <w:jc w:val="both"/>
            </w:pPr>
            <w:r w:rsidRPr="00224BC8">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568B3" w:rsidRPr="00224BC8" w:rsidRDefault="002568B3" w:rsidP="00A46F06">
            <w:pPr>
              <w:widowControl w:val="0"/>
              <w:tabs>
                <w:tab w:val="left" w:pos="6199"/>
              </w:tabs>
              <w:jc w:val="both"/>
            </w:pPr>
            <w:r w:rsidRPr="00224BC8">
              <w:t xml:space="preserve">Методика оцінки: </w:t>
            </w:r>
          </w:p>
          <w:p w:rsidR="002568B3" w:rsidRPr="00224BC8" w:rsidRDefault="002568B3" w:rsidP="00A46F06">
            <w:pPr>
              <w:spacing w:after="120"/>
              <w:jc w:val="both"/>
            </w:pPr>
            <w:r w:rsidRPr="00224BC8">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2568B3" w:rsidRPr="00224BC8" w:rsidTr="003951B3">
        <w:trPr>
          <w:trHeight w:val="20"/>
          <w:jc w:val="center"/>
        </w:trPr>
        <w:tc>
          <w:tcPr>
            <w:tcW w:w="2692" w:type="dxa"/>
          </w:tcPr>
          <w:p w:rsidR="002568B3" w:rsidRPr="00224BC8" w:rsidRDefault="002568B3" w:rsidP="003951B3">
            <w:pPr>
              <w:spacing w:after="120"/>
              <w:outlineLvl w:val="1"/>
              <w:rPr>
                <w:b/>
                <w:bCs/>
                <w:lang w:eastAsia="en-US"/>
              </w:rPr>
            </w:pPr>
            <w:r w:rsidRPr="00224BC8">
              <w:rPr>
                <w:b/>
                <w:bCs/>
                <w:lang w:eastAsia="en-US"/>
              </w:rPr>
              <w:t>2. Формальні (несуттєві) помилки</w:t>
            </w:r>
          </w:p>
        </w:tc>
        <w:tc>
          <w:tcPr>
            <w:tcW w:w="7446" w:type="dxa"/>
          </w:tcPr>
          <w:p w:rsidR="002568B3" w:rsidRPr="00224BC8" w:rsidRDefault="002568B3" w:rsidP="00D911FA">
            <w:pPr>
              <w:spacing w:after="120"/>
              <w:jc w:val="both"/>
            </w:pPr>
            <w:r w:rsidRPr="00224BC8">
              <w:t>Формальними (несуттєвими) вважаються помилки, що пов’язані з оформленням тендерної пропозиції та не впливають на зміст тендерної пропозиції (технічні помилки та описки), а саме:</w:t>
            </w:r>
          </w:p>
          <w:p w:rsidR="002568B3" w:rsidRPr="00224BC8" w:rsidRDefault="002568B3" w:rsidP="00D911FA">
            <w:pPr>
              <w:pStyle w:val="NormalWeb"/>
              <w:spacing w:before="0" w:beforeAutospacing="0" w:after="120" w:afterAutospacing="0"/>
              <w:jc w:val="both"/>
              <w:rPr>
                <w:lang w:eastAsia="ru-RU"/>
              </w:rPr>
            </w:pPr>
            <w:r w:rsidRPr="00224BC8">
              <w:rPr>
                <w:lang w:eastAsia="ru-RU"/>
              </w:rPr>
              <w:t>1) Інформація/документ, подана учасником процедури закупівлі у складі тендерної пропозиції, містить помилку (помилки) у частині:</w:t>
            </w:r>
          </w:p>
          <w:p w:rsidR="002568B3" w:rsidRPr="00224BC8" w:rsidRDefault="002568B3" w:rsidP="00D911FA">
            <w:pPr>
              <w:pStyle w:val="NormalWeb"/>
              <w:spacing w:before="0" w:beforeAutospacing="0" w:after="120" w:afterAutospacing="0"/>
              <w:jc w:val="both"/>
              <w:rPr>
                <w:lang w:eastAsia="ru-RU"/>
              </w:rPr>
            </w:pPr>
            <w:r w:rsidRPr="00224BC8">
              <w:rPr>
                <w:lang w:eastAsia="ru-RU"/>
              </w:rPr>
              <w:t>уживання великої літери;</w:t>
            </w:r>
          </w:p>
          <w:p w:rsidR="002568B3" w:rsidRPr="00224BC8" w:rsidRDefault="002568B3" w:rsidP="00D911FA">
            <w:pPr>
              <w:pStyle w:val="NormalWeb"/>
              <w:spacing w:before="0" w:beforeAutospacing="0" w:after="120" w:afterAutospacing="0"/>
              <w:jc w:val="both"/>
              <w:rPr>
                <w:lang w:eastAsia="ru-RU"/>
              </w:rPr>
            </w:pPr>
            <w:r w:rsidRPr="00224BC8">
              <w:rPr>
                <w:lang w:eastAsia="ru-RU"/>
              </w:rPr>
              <w:t>уживання розділових знаків та відмінювання слів у реченні;</w:t>
            </w:r>
          </w:p>
          <w:p w:rsidR="002568B3" w:rsidRPr="00224BC8" w:rsidRDefault="002568B3" w:rsidP="00D911FA">
            <w:pPr>
              <w:pStyle w:val="NormalWeb"/>
              <w:spacing w:before="0" w:beforeAutospacing="0" w:after="120" w:afterAutospacing="0"/>
              <w:jc w:val="both"/>
              <w:rPr>
                <w:lang w:eastAsia="ru-RU"/>
              </w:rPr>
            </w:pPr>
            <w:r w:rsidRPr="00224BC8">
              <w:rPr>
                <w:lang w:eastAsia="ru-RU"/>
              </w:rPr>
              <w:t>використання слова або мовного звороту, запозичених з іншої мови;</w:t>
            </w:r>
          </w:p>
          <w:p w:rsidR="002568B3" w:rsidRPr="00224BC8" w:rsidRDefault="002568B3" w:rsidP="00D911FA">
            <w:pPr>
              <w:pStyle w:val="NormalWeb"/>
              <w:spacing w:before="0" w:beforeAutospacing="0" w:after="120" w:afterAutospacing="0"/>
              <w:jc w:val="both"/>
              <w:rPr>
                <w:lang w:eastAsia="ru-RU"/>
              </w:rPr>
            </w:pPr>
            <w:r w:rsidRPr="00224BC8">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68B3" w:rsidRPr="00224BC8" w:rsidRDefault="002568B3" w:rsidP="00D911FA">
            <w:pPr>
              <w:pStyle w:val="NormalWeb"/>
              <w:spacing w:before="0" w:beforeAutospacing="0" w:after="120" w:afterAutospacing="0"/>
              <w:jc w:val="both"/>
              <w:rPr>
                <w:lang w:eastAsia="ru-RU"/>
              </w:rPr>
            </w:pPr>
            <w:r w:rsidRPr="00224BC8">
              <w:rPr>
                <w:lang w:eastAsia="ru-RU"/>
              </w:rPr>
              <w:t>застосування правил переносу частини слова з рядка в рядок;</w:t>
            </w:r>
          </w:p>
          <w:p w:rsidR="002568B3" w:rsidRPr="00224BC8" w:rsidRDefault="002568B3" w:rsidP="00D911FA">
            <w:pPr>
              <w:pStyle w:val="NormalWeb"/>
              <w:spacing w:before="0" w:beforeAutospacing="0" w:after="120" w:afterAutospacing="0"/>
              <w:jc w:val="both"/>
              <w:rPr>
                <w:lang w:eastAsia="ru-RU"/>
              </w:rPr>
            </w:pPr>
            <w:r w:rsidRPr="00224BC8">
              <w:rPr>
                <w:lang w:eastAsia="ru-RU"/>
              </w:rPr>
              <w:t>написання слів разом та/або окремо, та/або через дефіс;</w:t>
            </w:r>
          </w:p>
          <w:p w:rsidR="002568B3" w:rsidRPr="00224BC8" w:rsidRDefault="002568B3" w:rsidP="00D911FA">
            <w:pPr>
              <w:pStyle w:val="NormalWeb"/>
              <w:spacing w:before="0" w:beforeAutospacing="0" w:after="120" w:afterAutospacing="0"/>
              <w:jc w:val="both"/>
              <w:rPr>
                <w:lang w:eastAsia="ru-RU"/>
              </w:rPr>
            </w:pPr>
            <w:r w:rsidRPr="00224BC8">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68B3" w:rsidRPr="00224BC8" w:rsidRDefault="002568B3" w:rsidP="00D911FA">
            <w:pPr>
              <w:pStyle w:val="NormalWeb"/>
              <w:spacing w:before="0" w:beforeAutospacing="0" w:after="120" w:afterAutospacing="0"/>
              <w:jc w:val="both"/>
              <w:rPr>
                <w:lang w:eastAsia="ru-RU"/>
              </w:rPr>
            </w:pPr>
            <w:r w:rsidRPr="00224BC8">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68B3" w:rsidRPr="00224BC8" w:rsidRDefault="002568B3" w:rsidP="00D911FA">
            <w:pPr>
              <w:pStyle w:val="NormalWeb"/>
              <w:spacing w:before="0" w:beforeAutospacing="0" w:after="120" w:afterAutospacing="0"/>
              <w:jc w:val="both"/>
              <w:rPr>
                <w:lang w:eastAsia="ru-RU"/>
              </w:rPr>
            </w:pPr>
            <w:r w:rsidRPr="00224BC8">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68B3" w:rsidRPr="00224BC8" w:rsidRDefault="002568B3" w:rsidP="00D911FA">
            <w:pPr>
              <w:pStyle w:val="NormalWeb"/>
              <w:spacing w:before="0" w:beforeAutospacing="0" w:after="120" w:afterAutospacing="0"/>
              <w:jc w:val="both"/>
              <w:rPr>
                <w:lang w:eastAsia="ru-RU"/>
              </w:rPr>
            </w:pPr>
            <w:r w:rsidRPr="00224BC8">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68B3" w:rsidRPr="00224BC8" w:rsidRDefault="002568B3" w:rsidP="00D911FA">
            <w:pPr>
              <w:pStyle w:val="NormalWeb"/>
              <w:spacing w:before="0" w:beforeAutospacing="0" w:after="120" w:afterAutospacing="0"/>
              <w:jc w:val="both"/>
              <w:rPr>
                <w:lang w:eastAsia="ru-RU"/>
              </w:rPr>
            </w:pPr>
            <w:r w:rsidRPr="00224BC8">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68B3" w:rsidRPr="00224BC8" w:rsidRDefault="002568B3" w:rsidP="00D911FA">
            <w:pPr>
              <w:pStyle w:val="NormalWeb"/>
              <w:spacing w:before="0" w:beforeAutospacing="0" w:after="120" w:afterAutospacing="0"/>
              <w:jc w:val="both"/>
              <w:rPr>
                <w:lang w:eastAsia="ru-RU"/>
              </w:rPr>
            </w:pPr>
            <w:r w:rsidRPr="00224BC8">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68B3" w:rsidRPr="00224BC8" w:rsidRDefault="002568B3" w:rsidP="00D911FA">
            <w:pPr>
              <w:pStyle w:val="NormalWeb"/>
              <w:spacing w:before="0" w:beforeAutospacing="0" w:after="120" w:afterAutospacing="0"/>
              <w:jc w:val="both"/>
              <w:rPr>
                <w:lang w:eastAsia="ru-RU"/>
              </w:rPr>
            </w:pPr>
            <w:r w:rsidRPr="00224BC8">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68B3" w:rsidRPr="00224BC8" w:rsidRDefault="002568B3" w:rsidP="00D911FA">
            <w:pPr>
              <w:pStyle w:val="NormalWeb"/>
              <w:spacing w:before="0" w:beforeAutospacing="0" w:after="120" w:afterAutospacing="0"/>
              <w:jc w:val="both"/>
              <w:rPr>
                <w:lang w:eastAsia="ru-RU"/>
              </w:rPr>
            </w:pPr>
            <w:r w:rsidRPr="00224BC8">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68B3" w:rsidRPr="00224BC8" w:rsidRDefault="002568B3" w:rsidP="00D911FA">
            <w:pPr>
              <w:pStyle w:val="NormalWeb"/>
              <w:spacing w:before="0" w:beforeAutospacing="0" w:after="120" w:afterAutospacing="0"/>
              <w:jc w:val="both"/>
              <w:rPr>
                <w:lang w:eastAsia="ru-RU"/>
              </w:rPr>
            </w:pPr>
            <w:r w:rsidRPr="00224BC8">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68B3" w:rsidRPr="00224BC8" w:rsidRDefault="002568B3" w:rsidP="00D911FA">
            <w:pPr>
              <w:pStyle w:val="NormalWeb"/>
              <w:spacing w:before="0" w:beforeAutospacing="0" w:after="120" w:afterAutospacing="0"/>
              <w:jc w:val="both"/>
              <w:rPr>
                <w:lang w:eastAsia="ru-RU"/>
              </w:rPr>
            </w:pPr>
            <w:r w:rsidRPr="00224BC8">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68B3" w:rsidRPr="00224BC8" w:rsidRDefault="002568B3" w:rsidP="00D911FA">
            <w:pPr>
              <w:pStyle w:val="NormalWeb"/>
              <w:spacing w:before="0" w:beforeAutospacing="0" w:after="120" w:afterAutospacing="0"/>
              <w:jc w:val="both"/>
              <w:rPr>
                <w:lang w:eastAsia="ru-RU"/>
              </w:rPr>
            </w:pPr>
            <w:r w:rsidRPr="00224BC8">
              <w:rPr>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68B3" w:rsidRPr="00224BC8" w:rsidRDefault="002568B3" w:rsidP="00D911FA">
            <w:pPr>
              <w:pStyle w:val="NormalWeb"/>
              <w:spacing w:before="0" w:beforeAutospacing="0" w:after="120" w:afterAutospacing="0"/>
              <w:jc w:val="both"/>
              <w:rPr>
                <w:lang w:eastAsia="ru-RU"/>
              </w:rPr>
            </w:pPr>
            <w:r w:rsidRPr="00224BC8">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568B3" w:rsidRPr="00224BC8" w:rsidTr="007E062F">
        <w:trPr>
          <w:trHeight w:val="20"/>
          <w:jc w:val="center"/>
        </w:trPr>
        <w:tc>
          <w:tcPr>
            <w:tcW w:w="2692" w:type="dxa"/>
          </w:tcPr>
          <w:p w:rsidR="002568B3" w:rsidRPr="00224BC8" w:rsidRDefault="002568B3" w:rsidP="007E062F">
            <w:pPr>
              <w:spacing w:after="120"/>
              <w:outlineLvl w:val="1"/>
              <w:rPr>
                <w:b/>
                <w:bCs/>
                <w:lang w:eastAsia="en-US"/>
              </w:rPr>
            </w:pPr>
            <w:r w:rsidRPr="00224BC8">
              <w:rPr>
                <w:b/>
                <w:bCs/>
                <w:lang w:eastAsia="en-US"/>
              </w:rPr>
              <w:t>3. Аномально низька ціна</w:t>
            </w:r>
          </w:p>
        </w:tc>
        <w:tc>
          <w:tcPr>
            <w:tcW w:w="7446" w:type="dxa"/>
            <w:vAlign w:val="center"/>
          </w:tcPr>
          <w:p w:rsidR="002568B3" w:rsidRPr="00224BC8" w:rsidRDefault="002568B3" w:rsidP="00FB224E">
            <w:pPr>
              <w:spacing w:after="120"/>
              <w:jc w:val="both"/>
            </w:pPr>
            <w:r w:rsidRPr="00224BC8">
              <w:t>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68B3" w:rsidRPr="00224BC8" w:rsidRDefault="002568B3" w:rsidP="00FB224E">
            <w:pPr>
              <w:spacing w:after="120"/>
              <w:jc w:val="both"/>
            </w:pPr>
            <w:r w:rsidRPr="00224BC8">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8B3" w:rsidRPr="00224BC8" w:rsidRDefault="002568B3" w:rsidP="00FB224E">
            <w:pPr>
              <w:spacing w:after="120"/>
              <w:jc w:val="both"/>
            </w:pPr>
            <w:r w:rsidRPr="00224BC8">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8B3" w:rsidRPr="00224BC8" w:rsidRDefault="002568B3" w:rsidP="00FB224E">
            <w:pPr>
              <w:spacing w:after="120"/>
              <w:jc w:val="both"/>
            </w:pPr>
            <w:r w:rsidRPr="00224BC8">
              <w:t>Обґрунтування аномально низької тендерної пропозиції може містити інформацію про:</w:t>
            </w:r>
          </w:p>
          <w:p w:rsidR="002568B3" w:rsidRPr="00224BC8" w:rsidRDefault="002568B3" w:rsidP="00FB224E">
            <w:pPr>
              <w:spacing w:after="120"/>
              <w:jc w:val="both"/>
            </w:pPr>
            <w:r w:rsidRPr="00224BC8">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8B3" w:rsidRPr="00224BC8" w:rsidRDefault="002568B3" w:rsidP="00FB224E">
            <w:pPr>
              <w:spacing w:after="120"/>
              <w:jc w:val="both"/>
            </w:pPr>
            <w:r w:rsidRPr="00224BC8">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8B3" w:rsidRPr="00224BC8" w:rsidRDefault="002568B3" w:rsidP="00FB224E">
            <w:pPr>
              <w:spacing w:after="120"/>
              <w:jc w:val="both"/>
            </w:pPr>
            <w:r w:rsidRPr="00224BC8">
              <w:t>3) отримання учасником державної допомоги згідно із законодавством.</w:t>
            </w:r>
          </w:p>
        </w:tc>
      </w:tr>
      <w:tr w:rsidR="002568B3" w:rsidRPr="00224BC8" w:rsidTr="007E062F">
        <w:trPr>
          <w:trHeight w:val="20"/>
          <w:jc w:val="center"/>
        </w:trPr>
        <w:tc>
          <w:tcPr>
            <w:tcW w:w="2692" w:type="dxa"/>
          </w:tcPr>
          <w:p w:rsidR="002568B3" w:rsidRPr="00224BC8" w:rsidRDefault="002568B3" w:rsidP="007E062F">
            <w:pPr>
              <w:spacing w:after="120"/>
              <w:outlineLvl w:val="1"/>
              <w:rPr>
                <w:b/>
                <w:bCs/>
                <w:lang w:eastAsia="en-US"/>
              </w:rPr>
            </w:pPr>
            <w:r w:rsidRPr="00224BC8">
              <w:rPr>
                <w:b/>
                <w:bCs/>
                <w:lang w:eastAsia="en-US"/>
              </w:rPr>
              <w:t>4. Усунення невідповідностей</w:t>
            </w:r>
          </w:p>
        </w:tc>
        <w:tc>
          <w:tcPr>
            <w:tcW w:w="7446" w:type="dxa"/>
            <w:vAlign w:val="center"/>
          </w:tcPr>
          <w:p w:rsidR="002568B3" w:rsidRPr="00224BC8" w:rsidRDefault="002568B3" w:rsidP="00FB224E">
            <w:pPr>
              <w:spacing w:after="120"/>
              <w:jc w:val="both"/>
            </w:pPr>
            <w:r w:rsidRPr="00224BC8">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8B3" w:rsidRPr="00224BC8" w:rsidRDefault="002568B3" w:rsidP="00FB224E">
            <w:pPr>
              <w:spacing w:after="120"/>
              <w:jc w:val="both"/>
            </w:pPr>
            <w:r w:rsidRPr="00224BC8">
              <w:t>Замовник розміщує повідомлення з вимогою про усунення невідповідностей в інформації та/або документах:</w:t>
            </w:r>
          </w:p>
          <w:p w:rsidR="002568B3" w:rsidRPr="00224BC8" w:rsidRDefault="002568B3" w:rsidP="00FB224E">
            <w:pPr>
              <w:spacing w:after="120"/>
              <w:jc w:val="both"/>
            </w:pPr>
            <w:r w:rsidRPr="00224BC8">
              <w:t>1) що підтверджують відповідність учасника процедури закупівлі кваліфікаційним критеріям відповідно до статті 16 Закону;</w:t>
            </w:r>
          </w:p>
          <w:p w:rsidR="002568B3" w:rsidRPr="00224BC8" w:rsidRDefault="002568B3" w:rsidP="00FB224E">
            <w:pPr>
              <w:spacing w:after="120"/>
              <w:jc w:val="both"/>
            </w:pPr>
            <w:r w:rsidRPr="00224BC8">
              <w:t>2) на підтвердження права підпису тендерної пропозиції та/або договору про закупівлю.</w:t>
            </w:r>
          </w:p>
          <w:p w:rsidR="002568B3" w:rsidRPr="00224BC8" w:rsidRDefault="002568B3" w:rsidP="00FB224E">
            <w:pPr>
              <w:spacing w:after="120"/>
              <w:jc w:val="both"/>
            </w:pPr>
            <w:r w:rsidRPr="00224BC8">
              <w:t>Повідомлення з вимогою про усунення невідповідностей повинно містити наступну інформацію:</w:t>
            </w:r>
          </w:p>
          <w:p w:rsidR="002568B3" w:rsidRPr="00224BC8" w:rsidRDefault="002568B3" w:rsidP="00FB224E">
            <w:pPr>
              <w:spacing w:after="120"/>
              <w:jc w:val="both"/>
            </w:pPr>
            <w:r w:rsidRPr="00224BC8">
              <w:t>1) перелік виявлених невідповідностей;</w:t>
            </w:r>
          </w:p>
          <w:p w:rsidR="002568B3" w:rsidRPr="00224BC8" w:rsidRDefault="002568B3" w:rsidP="00FB224E">
            <w:pPr>
              <w:spacing w:after="120"/>
              <w:jc w:val="both"/>
            </w:pPr>
            <w:r w:rsidRPr="00224BC8">
              <w:t>2) посилання на вимогу (вимоги) тендерної документації, щодо яких виявлені невідповідності;</w:t>
            </w:r>
          </w:p>
          <w:p w:rsidR="002568B3" w:rsidRPr="00224BC8" w:rsidRDefault="002568B3" w:rsidP="00FB224E">
            <w:pPr>
              <w:spacing w:after="120"/>
              <w:jc w:val="both"/>
            </w:pPr>
            <w:r w:rsidRPr="00224BC8">
              <w:t>3) перелік інформації та/або документів, які повинен подати учасник для усунення виявлених невідповідностей.</w:t>
            </w:r>
          </w:p>
          <w:p w:rsidR="002568B3" w:rsidRPr="00224BC8" w:rsidRDefault="002568B3" w:rsidP="00FB224E">
            <w:pPr>
              <w:spacing w:after="120"/>
              <w:jc w:val="both"/>
            </w:pPr>
            <w:r w:rsidRPr="00224BC8">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8B3" w:rsidRPr="00224BC8" w:rsidRDefault="002568B3" w:rsidP="00FB224E">
            <w:pPr>
              <w:spacing w:after="120"/>
              <w:jc w:val="both"/>
            </w:pPr>
            <w:r w:rsidRPr="00224BC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8B3" w:rsidRPr="00224BC8" w:rsidRDefault="002568B3" w:rsidP="00FB224E">
            <w:pPr>
              <w:spacing w:after="120"/>
              <w:jc w:val="both"/>
            </w:pPr>
            <w:r w:rsidRPr="00224BC8">
              <w:t>Замовник розглядає подані тендерні пропозиції з урахуванням виправлення або невиправлення учасниками виявлених невідповідностей.</w:t>
            </w:r>
          </w:p>
        </w:tc>
      </w:tr>
      <w:tr w:rsidR="002568B3" w:rsidRPr="00224BC8" w:rsidTr="007E062F">
        <w:trPr>
          <w:trHeight w:val="20"/>
          <w:jc w:val="center"/>
        </w:trPr>
        <w:tc>
          <w:tcPr>
            <w:tcW w:w="2692" w:type="dxa"/>
          </w:tcPr>
          <w:p w:rsidR="002568B3" w:rsidRPr="00224BC8" w:rsidRDefault="002568B3" w:rsidP="007E062F">
            <w:pPr>
              <w:spacing w:after="120"/>
              <w:outlineLvl w:val="1"/>
              <w:rPr>
                <w:b/>
                <w:bCs/>
                <w:lang w:eastAsia="en-US"/>
              </w:rPr>
            </w:pPr>
            <w:bookmarkStart w:id="23" w:name="_Toc410576455"/>
            <w:r w:rsidRPr="00224BC8">
              <w:rPr>
                <w:b/>
                <w:bCs/>
                <w:lang w:eastAsia="en-US"/>
              </w:rPr>
              <w:t>5. Відхилення тендерних пропозицій</w:t>
            </w:r>
            <w:bookmarkEnd w:id="23"/>
          </w:p>
        </w:tc>
        <w:tc>
          <w:tcPr>
            <w:tcW w:w="7446" w:type="dxa"/>
            <w:vAlign w:val="center"/>
          </w:tcPr>
          <w:p w:rsidR="002568B3" w:rsidRPr="00224BC8" w:rsidRDefault="002568B3" w:rsidP="007E062F">
            <w:pPr>
              <w:spacing w:after="120"/>
              <w:jc w:val="both"/>
            </w:pPr>
            <w:r w:rsidRPr="00224BC8">
              <w:t xml:space="preserve">Тендерна пропозиція відхиляється замовником у разі якщо: </w:t>
            </w:r>
          </w:p>
          <w:p w:rsidR="002568B3" w:rsidRPr="00224BC8" w:rsidRDefault="002568B3" w:rsidP="002C1F83">
            <w:pPr>
              <w:spacing w:after="120"/>
              <w:jc w:val="both"/>
            </w:pPr>
            <w:r w:rsidRPr="00224BC8">
              <w:t>1) учасник процедури закупівлі:</w:t>
            </w:r>
          </w:p>
          <w:p w:rsidR="002568B3" w:rsidRPr="00224BC8" w:rsidRDefault="002568B3" w:rsidP="002C1F83">
            <w:pPr>
              <w:spacing w:after="120"/>
              <w:jc w:val="both"/>
            </w:pPr>
            <w:r w:rsidRPr="00224BC8">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568B3" w:rsidRPr="00224BC8" w:rsidRDefault="002568B3" w:rsidP="002C1F83">
            <w:pPr>
              <w:spacing w:after="120"/>
              <w:jc w:val="both"/>
            </w:pPr>
            <w:r w:rsidRPr="00224BC8">
              <w:t>не відповідає встановленим абзацом першим частини третьої статті 22 Закону вимогам до учасника відповідно до законодавства;</w:t>
            </w:r>
          </w:p>
          <w:p w:rsidR="002568B3" w:rsidRPr="00224BC8" w:rsidRDefault="002568B3" w:rsidP="002C1F83">
            <w:pPr>
              <w:spacing w:after="120"/>
              <w:jc w:val="both"/>
            </w:pPr>
            <w:r w:rsidRPr="00224BC8">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568B3" w:rsidRPr="00224BC8" w:rsidRDefault="002568B3" w:rsidP="002C1F83">
            <w:pPr>
              <w:spacing w:after="120"/>
              <w:jc w:val="both"/>
            </w:pPr>
            <w:r w:rsidRPr="00224BC8">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68B3" w:rsidRPr="00224BC8" w:rsidRDefault="002568B3" w:rsidP="002C1F83">
            <w:pPr>
              <w:spacing w:after="120"/>
              <w:jc w:val="both"/>
            </w:pPr>
            <w:r w:rsidRPr="00224BC8">
              <w:t>не надав обґрунтування аномально низької ціни тендерної пропозиції протягом строку, визначеного в частині чотирнадцятій статті 29 Закону;</w:t>
            </w:r>
          </w:p>
          <w:p w:rsidR="002568B3" w:rsidRPr="00224BC8" w:rsidRDefault="002568B3" w:rsidP="002C1F83">
            <w:pPr>
              <w:spacing w:after="120"/>
              <w:jc w:val="both"/>
            </w:pPr>
            <w:r w:rsidRPr="00224BC8">
              <w:t>визначив конфіденційною інформацію, що не може бути визначена як конфіденційна відповідно до вимог частини другої статті 28 Закону;</w:t>
            </w:r>
          </w:p>
          <w:p w:rsidR="002568B3" w:rsidRPr="00224BC8" w:rsidRDefault="002568B3" w:rsidP="002C1F83">
            <w:pPr>
              <w:spacing w:after="120"/>
              <w:jc w:val="both"/>
            </w:pPr>
            <w:r w:rsidRPr="00224BC8">
              <w:t>2) тендерна пропозиція учасника:</w:t>
            </w:r>
          </w:p>
          <w:p w:rsidR="002568B3" w:rsidRPr="00224BC8" w:rsidRDefault="002568B3" w:rsidP="002C1F83">
            <w:pPr>
              <w:spacing w:after="120"/>
              <w:jc w:val="both"/>
            </w:pPr>
            <w:r w:rsidRPr="00224BC8">
              <w:t>не відповідає умовам технічної специфікації та іншим вимогам щодо предмета закупівлі тендерної документації;</w:t>
            </w:r>
          </w:p>
          <w:p w:rsidR="002568B3" w:rsidRPr="00224BC8" w:rsidRDefault="002568B3" w:rsidP="002C1F83">
            <w:pPr>
              <w:spacing w:after="120"/>
              <w:jc w:val="both"/>
            </w:pPr>
            <w:r w:rsidRPr="00224BC8">
              <w:t>викладена іншою мовою (мовами), аніж мова (мови), що вимагається тендерною документацією;</w:t>
            </w:r>
          </w:p>
          <w:p w:rsidR="002568B3" w:rsidRPr="00224BC8" w:rsidRDefault="002568B3" w:rsidP="002C1F83">
            <w:pPr>
              <w:spacing w:after="120"/>
              <w:jc w:val="both"/>
            </w:pPr>
            <w:r w:rsidRPr="00224BC8">
              <w:t>є такою, строк дії якої закінчився;</w:t>
            </w:r>
          </w:p>
          <w:p w:rsidR="002568B3" w:rsidRPr="00224BC8" w:rsidRDefault="002568B3" w:rsidP="002C1F83">
            <w:pPr>
              <w:spacing w:after="120"/>
              <w:jc w:val="both"/>
            </w:pPr>
            <w:r w:rsidRPr="00224BC8">
              <w:t>3) переможець процедури закупівлі:</w:t>
            </w:r>
          </w:p>
          <w:p w:rsidR="002568B3" w:rsidRPr="00224BC8" w:rsidRDefault="002568B3" w:rsidP="002C1F83">
            <w:pPr>
              <w:spacing w:after="120"/>
              <w:jc w:val="both"/>
            </w:pPr>
            <w:r w:rsidRPr="00224BC8">
              <w:t>відмовився від підписання договору про закупівлю відповідно до вимог тендерної документації або укладення договору про закупівлю;</w:t>
            </w:r>
          </w:p>
          <w:p w:rsidR="002568B3" w:rsidRPr="00224BC8" w:rsidRDefault="002568B3" w:rsidP="002C1F83">
            <w:pPr>
              <w:spacing w:after="120"/>
              <w:jc w:val="both"/>
            </w:pPr>
            <w:r w:rsidRPr="00224BC8">
              <w:t>не надав у спосіб, зазначений в тендерній документації, документи, що підтверджують відсутність підстав, установлених статтею 17 Закону;</w:t>
            </w:r>
          </w:p>
          <w:p w:rsidR="002568B3" w:rsidRPr="00224BC8" w:rsidRDefault="002568B3" w:rsidP="002C1F83">
            <w:pPr>
              <w:spacing w:after="120"/>
              <w:jc w:val="both"/>
            </w:pPr>
            <w:r w:rsidRPr="00224BC8">
              <w:t>не надав копію ліцензії або документа дозвільного характеру (у разі їх наявності) відповідно до частини другої статті 41 Закону.</w:t>
            </w:r>
          </w:p>
          <w:p w:rsidR="002568B3" w:rsidRPr="00224BC8" w:rsidRDefault="002568B3" w:rsidP="007E062F">
            <w:pPr>
              <w:spacing w:after="120"/>
              <w:jc w:val="both"/>
            </w:pPr>
            <w:r w:rsidRPr="00224BC8">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8B3" w:rsidRPr="00224BC8" w:rsidTr="007E062F">
        <w:trPr>
          <w:trHeight w:val="20"/>
          <w:jc w:val="center"/>
        </w:trPr>
        <w:tc>
          <w:tcPr>
            <w:tcW w:w="2692" w:type="dxa"/>
          </w:tcPr>
          <w:p w:rsidR="002568B3" w:rsidRPr="00224BC8" w:rsidRDefault="002568B3" w:rsidP="007E062F">
            <w:pPr>
              <w:spacing w:after="120"/>
              <w:outlineLvl w:val="1"/>
              <w:rPr>
                <w:b/>
                <w:bCs/>
                <w:lang w:eastAsia="en-US"/>
              </w:rPr>
            </w:pPr>
            <w:r w:rsidRPr="00224BC8">
              <w:rPr>
                <w:b/>
                <w:bCs/>
                <w:lang w:eastAsia="en-US"/>
              </w:rPr>
              <w:t>6.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rsidR="002568B3" w:rsidRPr="00224BC8" w:rsidRDefault="002568B3" w:rsidP="00C76746">
            <w:pPr>
              <w:spacing w:after="120"/>
              <w:jc w:val="both"/>
            </w:pPr>
            <w:r w:rsidRPr="00224BC8">
              <w:t>Переможець торгів у строк, що не перевищує десяти днів з дати оприлюднення в електронній системі закупівель надсилає повідомлення про намір укласти договір про закупівлю, повинен подати замовнику документи шляхом оприлюднення їх в електронній системі закупівель, що підтверджують відсутність підстав, визначених частинами першою і другою статті 17 Закону, зазначені у Додатку 4 до тендерної документації.</w:t>
            </w:r>
          </w:p>
          <w:p w:rsidR="002568B3" w:rsidRPr="00224BC8" w:rsidRDefault="002568B3" w:rsidP="00C76746">
            <w:pPr>
              <w:spacing w:after="120"/>
              <w:jc w:val="both"/>
            </w:pPr>
            <w:r w:rsidRPr="00224BC8">
              <w:rPr>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tc>
      </w:tr>
      <w:tr w:rsidR="002568B3" w:rsidRPr="00224BC8" w:rsidTr="007E062F">
        <w:trPr>
          <w:trHeight w:val="20"/>
          <w:jc w:val="center"/>
        </w:trPr>
        <w:tc>
          <w:tcPr>
            <w:tcW w:w="10138" w:type="dxa"/>
            <w:gridSpan w:val="2"/>
          </w:tcPr>
          <w:p w:rsidR="002568B3" w:rsidRPr="00224BC8" w:rsidRDefault="002568B3" w:rsidP="007E062F">
            <w:pPr>
              <w:keepNext/>
              <w:spacing w:before="120" w:after="120"/>
              <w:jc w:val="center"/>
              <w:outlineLvl w:val="0"/>
              <w:rPr>
                <w:b/>
              </w:rPr>
            </w:pPr>
            <w:bookmarkStart w:id="24" w:name="_Toc410576457"/>
            <w:r w:rsidRPr="00224BC8">
              <w:rPr>
                <w:b/>
              </w:rPr>
              <w:t>Розділ VI. Результати торгів та укладання договору про закупівлю</w:t>
            </w:r>
            <w:bookmarkEnd w:id="24"/>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r w:rsidRPr="00224BC8">
              <w:rPr>
                <w:b/>
                <w:lang w:eastAsia="en-US"/>
              </w:rPr>
              <w:t>1. Відміна замовником торгів чи визнання їх такими, що не відбулися</w:t>
            </w:r>
          </w:p>
        </w:tc>
        <w:tc>
          <w:tcPr>
            <w:tcW w:w="7446" w:type="dxa"/>
          </w:tcPr>
          <w:p w:rsidR="002568B3" w:rsidRPr="00224BC8" w:rsidRDefault="002568B3" w:rsidP="007E062F">
            <w:pPr>
              <w:spacing w:after="120"/>
              <w:jc w:val="both"/>
            </w:pPr>
            <w:r w:rsidRPr="00224BC8">
              <w:t>Замовник відміняє тендер у разі:</w:t>
            </w:r>
          </w:p>
          <w:p w:rsidR="002568B3" w:rsidRPr="00224BC8" w:rsidRDefault="002568B3" w:rsidP="00C76746">
            <w:pPr>
              <w:spacing w:after="120"/>
              <w:jc w:val="both"/>
            </w:pPr>
            <w:r w:rsidRPr="00224BC8">
              <w:t>1) відсутності подальшої потреби в закупівлі товарів, робіт чи послуг;</w:t>
            </w:r>
          </w:p>
          <w:p w:rsidR="002568B3" w:rsidRPr="00224BC8" w:rsidRDefault="002568B3" w:rsidP="00C76746">
            <w:pPr>
              <w:spacing w:after="120"/>
              <w:jc w:val="both"/>
            </w:pPr>
            <w:r w:rsidRPr="00224BC8">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568B3" w:rsidRPr="00224BC8" w:rsidRDefault="002568B3" w:rsidP="00C76746">
            <w:pPr>
              <w:spacing w:after="120"/>
              <w:jc w:val="both"/>
            </w:pPr>
            <w:r w:rsidRPr="00224BC8">
              <w:t>Тендер автоматично відміняється електронною системою закупівель у разі:</w:t>
            </w:r>
          </w:p>
          <w:p w:rsidR="002568B3" w:rsidRPr="00224BC8" w:rsidRDefault="002568B3" w:rsidP="00C76746">
            <w:pPr>
              <w:spacing w:after="120"/>
              <w:jc w:val="both"/>
            </w:pPr>
            <w:r w:rsidRPr="00224BC8">
              <w:t>1) подання для участі:</w:t>
            </w:r>
          </w:p>
          <w:p w:rsidR="002568B3" w:rsidRPr="00224BC8" w:rsidRDefault="002568B3" w:rsidP="00C76746">
            <w:pPr>
              <w:spacing w:after="120"/>
              <w:jc w:val="both"/>
            </w:pPr>
            <w:r w:rsidRPr="00224BC8">
              <w:t>у відкритих торгах – менше двох тендерних пропозицій;</w:t>
            </w:r>
          </w:p>
          <w:p w:rsidR="002568B3" w:rsidRPr="00224BC8" w:rsidRDefault="002568B3" w:rsidP="00C76746">
            <w:pPr>
              <w:spacing w:after="120"/>
              <w:jc w:val="both"/>
            </w:pPr>
            <w:r w:rsidRPr="00224BC8">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568B3" w:rsidRPr="00224BC8" w:rsidRDefault="002568B3" w:rsidP="00C76746">
            <w:pPr>
              <w:spacing w:after="120"/>
              <w:jc w:val="both"/>
            </w:pPr>
            <w:r w:rsidRPr="00224BC8">
              <w:t>3) відхилення всіх тендерних пропозицій згідно з цим Законом.</w:t>
            </w:r>
          </w:p>
          <w:p w:rsidR="002568B3" w:rsidRPr="00224BC8" w:rsidRDefault="002568B3" w:rsidP="00C76746">
            <w:pPr>
              <w:spacing w:after="120"/>
              <w:jc w:val="both"/>
            </w:pPr>
            <w:r w:rsidRPr="00224BC8">
              <w:t>Замовник має право визнати тендер таким, що не відбувся, у разі:</w:t>
            </w:r>
          </w:p>
          <w:p w:rsidR="002568B3" w:rsidRPr="00224BC8" w:rsidRDefault="002568B3" w:rsidP="00C76746">
            <w:pPr>
              <w:spacing w:after="120"/>
              <w:jc w:val="both"/>
            </w:pPr>
            <w:r w:rsidRPr="00224BC8">
              <w:t>1) якщо здійснення закупівлі стало неможливим внаслідок дії непереборної сили;</w:t>
            </w:r>
          </w:p>
          <w:p w:rsidR="002568B3" w:rsidRPr="00224BC8" w:rsidRDefault="002568B3" w:rsidP="00C76746">
            <w:pPr>
              <w:spacing w:after="120"/>
              <w:jc w:val="both"/>
            </w:pPr>
            <w:r w:rsidRPr="00224BC8">
              <w:t>2) скорочення видатків на здійснення закупівлі товарів, робіт чи послуг.</w:t>
            </w:r>
          </w:p>
          <w:p w:rsidR="002568B3" w:rsidRPr="00224BC8" w:rsidRDefault="002568B3" w:rsidP="00C76746">
            <w:pPr>
              <w:spacing w:after="120"/>
              <w:jc w:val="both"/>
            </w:pPr>
            <w:r w:rsidRPr="00224BC8">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8B3" w:rsidRPr="00224BC8" w:rsidRDefault="002568B3" w:rsidP="00311E62">
            <w:pPr>
              <w:spacing w:after="120"/>
              <w:jc w:val="both"/>
            </w:pPr>
            <w:r w:rsidRPr="00224BC8">
              <w:t>У разі автоматичної відміни тендеру електронною системою закупівель автоматично оприлюднюється інформація про відміну тендеру.</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25" w:name="_Toc410576458"/>
            <w:r w:rsidRPr="00224BC8">
              <w:rPr>
                <w:b/>
                <w:lang w:eastAsia="en-US"/>
              </w:rPr>
              <w:t>2. Строк укладання договору</w:t>
            </w:r>
            <w:bookmarkEnd w:id="25"/>
          </w:p>
        </w:tc>
        <w:tc>
          <w:tcPr>
            <w:tcW w:w="7446" w:type="dxa"/>
          </w:tcPr>
          <w:p w:rsidR="002568B3" w:rsidRPr="00224BC8" w:rsidRDefault="002568B3" w:rsidP="007E062F">
            <w:pPr>
              <w:spacing w:after="120"/>
              <w:jc w:val="both"/>
            </w:pPr>
            <w:r w:rsidRPr="00224BC8">
              <w:t>Замовник укладає договір про закупівлю з учасником, якого визнано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568B3" w:rsidRPr="00224BC8" w:rsidRDefault="002568B3" w:rsidP="007E062F">
            <w:pPr>
              <w:spacing w:after="120"/>
              <w:jc w:val="both"/>
              <w:rPr>
                <w:i/>
              </w:rPr>
            </w:pPr>
            <w:r w:rsidRPr="00224BC8">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26" w:name="_Toc410576459"/>
            <w:r w:rsidRPr="00224BC8">
              <w:rPr>
                <w:b/>
                <w:lang w:eastAsia="en-US"/>
              </w:rPr>
              <w:t>3. Проект договору про закупівлю</w:t>
            </w:r>
            <w:bookmarkEnd w:id="26"/>
          </w:p>
        </w:tc>
        <w:tc>
          <w:tcPr>
            <w:tcW w:w="7446" w:type="dxa"/>
          </w:tcPr>
          <w:p w:rsidR="002568B3" w:rsidRPr="00224BC8" w:rsidRDefault="002568B3" w:rsidP="00E969A3">
            <w:pPr>
              <w:spacing w:after="120"/>
              <w:jc w:val="both"/>
            </w:pPr>
            <w:r w:rsidRPr="00224BC8">
              <w:t>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rsidR="002568B3" w:rsidRPr="00224BC8" w:rsidRDefault="002568B3" w:rsidP="00F42B14">
            <w:pPr>
              <w:spacing w:after="120"/>
              <w:jc w:val="both"/>
            </w:pPr>
            <w:r w:rsidRPr="00224BC8">
              <w:t>Остаточну редакцію договору про закупівлю замовник складає з огляду на особливості предмета закупівлі на базі проекту договору про закупівлю, що є Додатком 10 до цієї тендерної документації, та надає переможцеві.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p>
          <w:p w:rsidR="002568B3" w:rsidRPr="00224BC8" w:rsidRDefault="002568B3" w:rsidP="00B60579">
            <w:pPr>
              <w:spacing w:after="120"/>
              <w:jc w:val="both"/>
            </w:pPr>
            <w:r w:rsidRPr="00224BC8">
              <w:t>Переможець процедури закупівлі під час укладення договору про закупівлю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8B3" w:rsidRPr="00224BC8" w:rsidRDefault="002568B3" w:rsidP="00B60579">
            <w:pPr>
              <w:spacing w:after="120"/>
              <w:jc w:val="both"/>
            </w:pPr>
            <w:r w:rsidRPr="00224BC8">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r w:rsidRPr="00224BC8">
              <w:rPr>
                <w:b/>
                <w:lang w:eastAsia="en-US"/>
              </w:rPr>
              <w:t>4. Істотні умови, що обов’язково включаються до проекту договору про закупівлю</w:t>
            </w:r>
          </w:p>
        </w:tc>
        <w:tc>
          <w:tcPr>
            <w:tcW w:w="7446" w:type="dxa"/>
          </w:tcPr>
          <w:p w:rsidR="002568B3" w:rsidRPr="00224BC8" w:rsidRDefault="002568B3" w:rsidP="00E8454E">
            <w:r w:rsidRPr="00224BC8">
              <w:t xml:space="preserve">Істотними умовами договору про закупівлю є: </w:t>
            </w:r>
          </w:p>
          <w:p w:rsidR="002568B3" w:rsidRPr="00224BC8" w:rsidRDefault="002568B3" w:rsidP="00E8454E">
            <w:pPr>
              <w:ind w:firstLine="180"/>
            </w:pPr>
            <w:r w:rsidRPr="00224BC8">
              <w:t xml:space="preserve">- предмет договору (найменування, номенклатура, асортимент); </w:t>
            </w:r>
          </w:p>
          <w:p w:rsidR="002568B3" w:rsidRPr="00224BC8" w:rsidRDefault="002568B3" w:rsidP="00E8454E">
            <w:pPr>
              <w:ind w:firstLine="180"/>
            </w:pPr>
            <w:r w:rsidRPr="00224BC8">
              <w:t xml:space="preserve">- кількість товарів, робіт і послуг та вимоги щодо їх якості; </w:t>
            </w:r>
          </w:p>
          <w:p w:rsidR="002568B3" w:rsidRPr="00224BC8" w:rsidRDefault="002568B3" w:rsidP="00E8454E">
            <w:pPr>
              <w:ind w:firstLine="180"/>
            </w:pPr>
            <w:r w:rsidRPr="00224BC8">
              <w:t xml:space="preserve">- порядок здійснення оплати; </w:t>
            </w:r>
          </w:p>
          <w:p w:rsidR="002568B3" w:rsidRPr="00224BC8" w:rsidRDefault="002568B3" w:rsidP="00E8454E">
            <w:pPr>
              <w:ind w:firstLine="180"/>
            </w:pPr>
            <w:r w:rsidRPr="00224BC8">
              <w:t xml:space="preserve">- ціна договору; </w:t>
            </w:r>
          </w:p>
          <w:p w:rsidR="002568B3" w:rsidRPr="00224BC8" w:rsidRDefault="002568B3" w:rsidP="00E8454E">
            <w:pPr>
              <w:ind w:firstLine="180"/>
            </w:pPr>
            <w:r w:rsidRPr="00224BC8">
              <w:t xml:space="preserve">- термін та місце поставки товарів, надання послуг, виконання робіт; </w:t>
            </w:r>
          </w:p>
          <w:p w:rsidR="002568B3" w:rsidRPr="00224BC8" w:rsidRDefault="002568B3" w:rsidP="00E8454E">
            <w:pPr>
              <w:ind w:firstLine="180"/>
            </w:pPr>
            <w:r w:rsidRPr="00224BC8">
              <w:t xml:space="preserve">- строк дії договору; </w:t>
            </w:r>
          </w:p>
          <w:p w:rsidR="002568B3" w:rsidRPr="00224BC8" w:rsidRDefault="002568B3" w:rsidP="00E8454E">
            <w:pPr>
              <w:ind w:firstLine="180"/>
            </w:pPr>
            <w:r w:rsidRPr="00224BC8">
              <w:t xml:space="preserve">- права та обов'язки сторін; </w:t>
            </w:r>
          </w:p>
          <w:p w:rsidR="002568B3" w:rsidRPr="00224BC8" w:rsidRDefault="002568B3" w:rsidP="00E8454E">
            <w:pPr>
              <w:ind w:firstLine="180"/>
            </w:pPr>
            <w:r w:rsidRPr="00224BC8">
              <w:t>- умова щодо можливості зменшення обсягів закупівлі залежно від реального фінансування видатків;</w:t>
            </w:r>
          </w:p>
          <w:p w:rsidR="002568B3" w:rsidRPr="00224BC8" w:rsidRDefault="002568B3" w:rsidP="00E8454E">
            <w:pPr>
              <w:ind w:firstLine="180"/>
            </w:pPr>
            <w:r w:rsidRPr="00224BC8">
              <w:t>- відповідальність сторін.</w:t>
            </w:r>
          </w:p>
          <w:p w:rsidR="002568B3" w:rsidRPr="00224BC8" w:rsidRDefault="002568B3" w:rsidP="00E8454E">
            <w:pPr>
              <w:shd w:val="clear" w:color="auto" w:fill="FFFFFF"/>
              <w:spacing w:before="120"/>
              <w:jc w:val="both"/>
            </w:pPr>
            <w:r w:rsidRPr="00224BC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8B3" w:rsidRPr="00224BC8" w:rsidRDefault="002568B3" w:rsidP="00E8454E">
            <w:pPr>
              <w:shd w:val="clear" w:color="auto" w:fill="FFFFFF"/>
              <w:ind w:firstLine="259"/>
              <w:jc w:val="both"/>
            </w:pPr>
            <w:r w:rsidRPr="00224BC8">
              <w:t>1) зменшення обсягів закупівлі, зокрема з урахуванням фактичного обсягу видатків Замовника;</w:t>
            </w:r>
          </w:p>
          <w:p w:rsidR="002568B3" w:rsidRPr="00224BC8" w:rsidRDefault="002568B3" w:rsidP="00E8454E">
            <w:pPr>
              <w:shd w:val="clear" w:color="auto" w:fill="FFFFFF"/>
              <w:ind w:firstLine="259"/>
              <w:jc w:val="both"/>
            </w:pPr>
            <w:r w:rsidRPr="00224BC8">
              <w:t>2) покращення якості предмета закупівлі, за умови, що таке покращення не призведе до збільшення суми, визначеної в договорі про закупівлю;</w:t>
            </w:r>
          </w:p>
          <w:p w:rsidR="002568B3" w:rsidRPr="00224BC8" w:rsidRDefault="002568B3" w:rsidP="00E8454E">
            <w:pPr>
              <w:shd w:val="clear" w:color="auto" w:fill="FFFFFF"/>
              <w:ind w:firstLine="259"/>
              <w:jc w:val="both"/>
            </w:pPr>
            <w:r w:rsidRPr="00224BC8">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8B3" w:rsidRPr="00224BC8" w:rsidRDefault="002568B3" w:rsidP="00E8454E">
            <w:pPr>
              <w:shd w:val="clear" w:color="auto" w:fill="FFFFFF"/>
              <w:ind w:firstLine="259"/>
              <w:jc w:val="both"/>
            </w:pPr>
            <w:r w:rsidRPr="00224BC8">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8B3" w:rsidRPr="00224BC8" w:rsidRDefault="002568B3" w:rsidP="00E8454E">
            <w:pPr>
              <w:shd w:val="clear" w:color="auto" w:fill="FFFFFF"/>
              <w:ind w:firstLine="259"/>
              <w:jc w:val="both"/>
            </w:pPr>
            <w:r w:rsidRPr="00224BC8">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8B3" w:rsidRPr="00224BC8" w:rsidRDefault="002568B3" w:rsidP="00E8454E">
            <w:pPr>
              <w:shd w:val="clear" w:color="auto" w:fill="FFFFFF"/>
              <w:ind w:firstLine="259"/>
              <w:jc w:val="both"/>
            </w:pPr>
            <w:r w:rsidRPr="00224BC8">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8B3" w:rsidRPr="00224BC8" w:rsidRDefault="002568B3" w:rsidP="00E8454E">
            <w:pPr>
              <w:shd w:val="clear" w:color="auto" w:fill="FFFFFF"/>
              <w:ind w:firstLine="259"/>
              <w:jc w:val="both"/>
            </w:pPr>
            <w:r w:rsidRPr="00224BC8">
              <w:t>7) зміни умов у зв’язку із застосуванням положень частини шостої статті 41 Закону.</w:t>
            </w:r>
          </w:p>
          <w:p w:rsidR="002568B3" w:rsidRPr="00224BC8" w:rsidRDefault="002568B3" w:rsidP="00E8454E">
            <w:pPr>
              <w:spacing w:before="120"/>
              <w:jc w:val="both"/>
            </w:pPr>
            <w:bookmarkStart w:id="27" w:name="bookmark_id_1y810tw" w:colFirst="0" w:colLast="0"/>
            <w:bookmarkEnd w:id="27"/>
            <w:r w:rsidRPr="00224BC8">
              <w:t>Договір про закупівлю є нікчемним у разі:</w:t>
            </w:r>
          </w:p>
          <w:p w:rsidR="002568B3" w:rsidRPr="00224BC8" w:rsidRDefault="002568B3" w:rsidP="00E8454E">
            <w:pPr>
              <w:ind w:firstLine="261"/>
              <w:jc w:val="both"/>
            </w:pPr>
            <w:r w:rsidRPr="00224BC8">
              <w:t>1) якщо Замовник уклав договір про закупівлю до/без проведення процедури закупівлі згідно з вимогами Закону;</w:t>
            </w:r>
          </w:p>
          <w:p w:rsidR="002568B3" w:rsidRPr="00224BC8" w:rsidRDefault="002568B3" w:rsidP="00E8454E">
            <w:pPr>
              <w:ind w:firstLine="261"/>
              <w:jc w:val="both"/>
            </w:pPr>
            <w:r w:rsidRPr="00224BC8">
              <w:t>2) укладення договору з порушенням вимог частини четвертої статті 41 Закону;</w:t>
            </w:r>
          </w:p>
          <w:p w:rsidR="002568B3" w:rsidRPr="00224BC8" w:rsidRDefault="002568B3" w:rsidP="00E8454E">
            <w:pPr>
              <w:ind w:firstLine="261"/>
              <w:jc w:val="both"/>
            </w:pPr>
            <w:r w:rsidRPr="00224BC8">
              <w:t>3) укладення договору в період оскарження процедури закупівлі відповідно до статті 18 Закону;</w:t>
            </w:r>
          </w:p>
          <w:p w:rsidR="002568B3" w:rsidRPr="00224BC8" w:rsidRDefault="002568B3" w:rsidP="00E8454E">
            <w:pPr>
              <w:spacing w:after="120"/>
              <w:jc w:val="both"/>
            </w:pPr>
            <w:r w:rsidRPr="00224BC8">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28" w:name="_Toc410576460"/>
            <w:r w:rsidRPr="00224BC8">
              <w:rPr>
                <w:b/>
                <w:lang w:eastAsia="en-US"/>
              </w:rPr>
              <w:t>5. Дії замовника при відмові переможця торгів підписати договір про закупівлю</w:t>
            </w:r>
            <w:bookmarkEnd w:id="28"/>
          </w:p>
        </w:tc>
        <w:tc>
          <w:tcPr>
            <w:tcW w:w="7446" w:type="dxa"/>
          </w:tcPr>
          <w:p w:rsidR="002568B3" w:rsidRPr="00224BC8" w:rsidRDefault="002568B3" w:rsidP="0086423F">
            <w:pPr>
              <w:widowControl w:val="0"/>
              <w:spacing w:before="96" w:after="96"/>
              <w:jc w:val="both"/>
              <w:rPr>
                <w:highlight w:val="white"/>
              </w:rPr>
            </w:pPr>
            <w:r w:rsidRPr="00224BC8">
              <w:rPr>
                <w:highlight w:val="white"/>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2568B3" w:rsidRPr="00224BC8" w:rsidRDefault="002568B3" w:rsidP="0086423F">
            <w:pPr>
              <w:widowControl w:val="0"/>
              <w:spacing w:before="96" w:after="96"/>
              <w:jc w:val="both"/>
            </w:pPr>
            <w:r w:rsidRPr="00224BC8">
              <w:t>У разі відмови переможця торгів укласти договір він зобов’язаний протягом 20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w:t>
            </w:r>
          </w:p>
          <w:p w:rsidR="002568B3" w:rsidRPr="00224BC8" w:rsidRDefault="002568B3" w:rsidP="0086423F">
            <w:pPr>
              <w:widowControl w:val="0"/>
              <w:spacing w:before="96" w:after="96"/>
              <w:jc w:val="both"/>
            </w:pPr>
            <w:r w:rsidRPr="00224BC8">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20 днів, з дня прийняття рішення про намір укласти договір про закупівлю.</w:t>
            </w:r>
          </w:p>
          <w:p w:rsidR="002568B3" w:rsidRPr="00224BC8" w:rsidRDefault="002568B3" w:rsidP="0086423F">
            <w:pPr>
              <w:widowControl w:val="0"/>
              <w:spacing w:before="96" w:after="96"/>
              <w:jc w:val="both"/>
            </w:pPr>
            <w:r w:rsidRPr="00224BC8">
              <w:t>У разі якщо учасником-переможцем процедури закупівлі протягом 20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20 днів з дня прийняття рішення про намір укласти договір про закупівлю учасником-переможцем не надано документи, які вимагаються Замовником у Додатках 2, 4 та 5 тендерної документації, Замовник приймає рішення про неукладення договору про закупівлю з вини учасника.</w:t>
            </w:r>
          </w:p>
          <w:p w:rsidR="002568B3" w:rsidRPr="00224BC8" w:rsidRDefault="002568B3" w:rsidP="0086423F">
            <w:pPr>
              <w:spacing w:after="120"/>
              <w:jc w:val="both"/>
            </w:pPr>
            <w:r w:rsidRPr="00224BC8">
              <w:rPr>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w:t>
            </w:r>
            <w:r w:rsidRPr="00224BC8">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частини 11 ст</w:t>
            </w:r>
            <w:bookmarkStart w:id="29" w:name="_GoBack"/>
            <w:bookmarkEnd w:id="29"/>
            <w:r w:rsidRPr="00224BC8">
              <w:t>атті 29 Закону.</w:t>
            </w:r>
          </w:p>
        </w:tc>
      </w:tr>
      <w:tr w:rsidR="002568B3" w:rsidRPr="00224BC8" w:rsidTr="007E062F">
        <w:trPr>
          <w:trHeight w:val="20"/>
          <w:jc w:val="center"/>
        </w:trPr>
        <w:tc>
          <w:tcPr>
            <w:tcW w:w="2692" w:type="dxa"/>
          </w:tcPr>
          <w:p w:rsidR="002568B3" w:rsidRPr="00224BC8" w:rsidRDefault="002568B3" w:rsidP="007E062F">
            <w:pPr>
              <w:spacing w:after="120"/>
              <w:outlineLvl w:val="1"/>
              <w:rPr>
                <w:b/>
                <w:lang w:eastAsia="en-US"/>
              </w:rPr>
            </w:pPr>
            <w:bookmarkStart w:id="30" w:name="_Toc410576461"/>
            <w:r w:rsidRPr="00224BC8">
              <w:rPr>
                <w:b/>
                <w:lang w:eastAsia="en-US"/>
              </w:rPr>
              <w:t>6. Забезпечення виконання договору про закупівлю</w:t>
            </w:r>
            <w:bookmarkEnd w:id="30"/>
          </w:p>
        </w:tc>
        <w:tc>
          <w:tcPr>
            <w:tcW w:w="7446" w:type="dxa"/>
          </w:tcPr>
          <w:p w:rsidR="002568B3" w:rsidRPr="00224BC8" w:rsidRDefault="002568B3" w:rsidP="00DA3B81">
            <w:pPr>
              <w:spacing w:after="120"/>
              <w:jc w:val="both"/>
            </w:pPr>
            <w:r w:rsidRPr="00224BC8">
              <w:t>Забезпечення виконання договору про закупівлю не вимагається.</w:t>
            </w:r>
          </w:p>
        </w:tc>
      </w:tr>
      <w:bookmarkEnd w:id="0"/>
    </w:tbl>
    <w:p w:rsidR="002568B3" w:rsidRPr="00224BC8" w:rsidRDefault="002568B3" w:rsidP="0007049F"/>
    <w:sectPr w:rsidR="002568B3" w:rsidRPr="00224BC8" w:rsidSect="00A969F9">
      <w:pgSz w:w="11906" w:h="16838" w:code="9"/>
      <w:pgMar w:top="851" w:right="851" w:bottom="89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B3" w:rsidRDefault="002568B3">
      <w:r>
        <w:separator/>
      </w:r>
    </w:p>
  </w:endnote>
  <w:endnote w:type="continuationSeparator" w:id="0">
    <w:p w:rsidR="002568B3" w:rsidRDefault="0025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B3" w:rsidRDefault="002568B3">
      <w:r>
        <w:separator/>
      </w:r>
    </w:p>
  </w:footnote>
  <w:footnote w:type="continuationSeparator" w:id="0">
    <w:p w:rsidR="002568B3" w:rsidRDefault="00256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6A81512"/>
    <w:multiLevelType w:val="hybridMultilevel"/>
    <w:tmpl w:val="F3964738"/>
    <w:lvl w:ilvl="0" w:tplc="85940680">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B5191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7F6404"/>
    <w:multiLevelType w:val="hybridMultilevel"/>
    <w:tmpl w:val="8CE6BC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E701D7"/>
    <w:multiLevelType w:val="multilevel"/>
    <w:tmpl w:val="66AE8362"/>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4">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nsid w:val="5EFA5C9F"/>
    <w:multiLevelType w:val="hybridMultilevel"/>
    <w:tmpl w:val="47E8FC7E"/>
    <w:lvl w:ilvl="0" w:tplc="FA4CDCA6">
      <w:numFmt w:val="bullet"/>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76514EEF"/>
    <w:multiLevelType w:val="multilevel"/>
    <w:tmpl w:val="A416939E"/>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8C57395"/>
    <w:multiLevelType w:val="multilevel"/>
    <w:tmpl w:val="7508406E"/>
    <w:lvl w:ilvl="0">
      <w:start w:val="1"/>
      <w:numFmt w:val="decimal"/>
      <w:suff w:val="space"/>
      <w:lvlText w:val="%1."/>
      <w:lvlJc w:val="center"/>
      <w:pPr>
        <w:ind w:firstLine="288"/>
      </w:pPr>
      <w:rPr>
        <w:rFonts w:cs="Times New Roman" w:hint="default"/>
      </w:rPr>
    </w:lvl>
    <w:lvl w:ilvl="1">
      <w:start w:val="1"/>
      <w:numFmt w:val="decimal"/>
      <w:suff w:val="space"/>
      <w:lvlText w:val="%1.%2."/>
      <w:lvlJc w:val="left"/>
      <w:pPr>
        <w:ind w:firstLine="39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7"/>
  </w:num>
  <w:num w:numId="3">
    <w:abstractNumId w:val="15"/>
  </w:num>
  <w:num w:numId="4">
    <w:abstractNumId w:val="10"/>
  </w:num>
  <w:num w:numId="5">
    <w:abstractNumId w:val="9"/>
  </w:num>
  <w:num w:numId="6">
    <w:abstractNumId w:val="12"/>
  </w:num>
  <w:num w:numId="7">
    <w:abstractNumId w:val="11"/>
  </w:num>
  <w:num w:numId="8">
    <w:abstractNumId w:val="14"/>
  </w:num>
  <w:num w:numId="9">
    <w:abstractNumId w:val="3"/>
  </w:num>
  <w:num w:numId="10">
    <w:abstractNumId w:val="19"/>
  </w:num>
  <w:num w:numId="11">
    <w:abstractNumId w:val="8"/>
  </w:num>
  <w:num w:numId="12">
    <w:abstractNumId w:val="19"/>
    <w:lvlOverride w:ilvl="0">
      <w:lvl w:ilvl="0">
        <w:start w:val="1"/>
        <w:numFmt w:val="decimal"/>
        <w:lvlText w:val="%1."/>
        <w:lvlJc w:val="left"/>
        <w:pPr>
          <w:ind w:left="284" w:hanging="284"/>
        </w:pPr>
        <w:rPr>
          <w:rFonts w:cs="Times New Roman" w:hint="default"/>
        </w:rPr>
      </w:lvl>
    </w:lvlOverride>
    <w:lvlOverride w:ilvl="1">
      <w:lvl w:ilvl="1">
        <w:start w:val="1"/>
        <w:numFmt w:val="decimal"/>
        <w:lvlText w:val="%1.%2."/>
        <w:lvlJc w:val="left"/>
        <w:pPr>
          <w:tabs>
            <w:tab w:val="num" w:pos="1134"/>
          </w:tabs>
          <w:ind w:firstLine="709"/>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 w:numId="14">
    <w:abstractNumId w:val="18"/>
  </w:num>
  <w:num w:numId="15">
    <w:abstractNumId w:val="7"/>
    <w:lvlOverride w:ilvl="0">
      <w:startOverride w:val="1"/>
    </w:lvlOverride>
  </w:num>
  <w:num w:numId="16">
    <w:abstractNumId w:val="7"/>
  </w:num>
  <w:num w:numId="17">
    <w:abstractNumId w:val="7"/>
  </w:num>
  <w:num w:numId="18">
    <w:abstractNumId w:val="18"/>
  </w:num>
  <w:num w:numId="19">
    <w:abstractNumId w:val="1"/>
  </w:num>
  <w:num w:numId="20">
    <w:abstractNumId w:val="6"/>
  </w:num>
  <w:num w:numId="21">
    <w:abstractNumId w:val="2"/>
  </w:num>
  <w:num w:numId="22">
    <w:abstractNumId w:val="0"/>
  </w:num>
  <w:num w:numId="23">
    <w:abstractNumId w:val="7"/>
  </w:num>
  <w:num w:numId="24">
    <w:abstractNumId w:val="7"/>
  </w:num>
  <w:num w:numId="25">
    <w:abstractNumId w:val="18"/>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13"/>
  </w:num>
  <w:num w:numId="39">
    <w:abstractNumId w:val="18"/>
  </w:num>
  <w:num w:numId="40">
    <w:abstractNumId w:val="5"/>
  </w:num>
  <w:num w:numId="41">
    <w:abstractNumId w:val="18"/>
  </w:num>
  <w:num w:numId="42">
    <w:abstractNumId w:val="18"/>
  </w:num>
  <w:num w:numId="43">
    <w:abstractNumId w:val="20"/>
  </w:num>
  <w:num w:numId="44">
    <w:abstractNumId w:val="18"/>
  </w:num>
  <w:num w:numId="45">
    <w:abstractNumId w:val="18"/>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2E"/>
    <w:rsid w:val="00002AAB"/>
    <w:rsid w:val="00003635"/>
    <w:rsid w:val="00005530"/>
    <w:rsid w:val="00006A5C"/>
    <w:rsid w:val="00016DC7"/>
    <w:rsid w:val="00024E21"/>
    <w:rsid w:val="000353BC"/>
    <w:rsid w:val="00036EA0"/>
    <w:rsid w:val="00042FD5"/>
    <w:rsid w:val="0004352F"/>
    <w:rsid w:val="00044FFC"/>
    <w:rsid w:val="00051645"/>
    <w:rsid w:val="0005436F"/>
    <w:rsid w:val="00054D65"/>
    <w:rsid w:val="00055EAA"/>
    <w:rsid w:val="00056061"/>
    <w:rsid w:val="0006159F"/>
    <w:rsid w:val="000644C4"/>
    <w:rsid w:val="00064738"/>
    <w:rsid w:val="00064C36"/>
    <w:rsid w:val="0007049F"/>
    <w:rsid w:val="00070940"/>
    <w:rsid w:val="00071BC9"/>
    <w:rsid w:val="00076041"/>
    <w:rsid w:val="0008274B"/>
    <w:rsid w:val="00093EE7"/>
    <w:rsid w:val="0009539E"/>
    <w:rsid w:val="000A21B9"/>
    <w:rsid w:val="000A2D5D"/>
    <w:rsid w:val="000A7671"/>
    <w:rsid w:val="000A7953"/>
    <w:rsid w:val="000B3A1E"/>
    <w:rsid w:val="000B5065"/>
    <w:rsid w:val="000B50F4"/>
    <w:rsid w:val="000B7164"/>
    <w:rsid w:val="000C00EC"/>
    <w:rsid w:val="000C2BBF"/>
    <w:rsid w:val="000C5152"/>
    <w:rsid w:val="000C62CF"/>
    <w:rsid w:val="000C6F2A"/>
    <w:rsid w:val="000C7829"/>
    <w:rsid w:val="000D4561"/>
    <w:rsid w:val="000D4D3C"/>
    <w:rsid w:val="000D6640"/>
    <w:rsid w:val="000E2C78"/>
    <w:rsid w:val="000E5249"/>
    <w:rsid w:val="000E65E0"/>
    <w:rsid w:val="000F13CC"/>
    <w:rsid w:val="000F2B00"/>
    <w:rsid w:val="000F2F2D"/>
    <w:rsid w:val="000F5A21"/>
    <w:rsid w:val="000F78D6"/>
    <w:rsid w:val="00102909"/>
    <w:rsid w:val="0010326A"/>
    <w:rsid w:val="00104322"/>
    <w:rsid w:val="001044CF"/>
    <w:rsid w:val="00106D13"/>
    <w:rsid w:val="00113892"/>
    <w:rsid w:val="00117DF6"/>
    <w:rsid w:val="00124C69"/>
    <w:rsid w:val="0012724F"/>
    <w:rsid w:val="00131374"/>
    <w:rsid w:val="00132F2B"/>
    <w:rsid w:val="00137A75"/>
    <w:rsid w:val="00137CCD"/>
    <w:rsid w:val="00140C05"/>
    <w:rsid w:val="00140FC9"/>
    <w:rsid w:val="001463E1"/>
    <w:rsid w:val="00146CE0"/>
    <w:rsid w:val="0014794B"/>
    <w:rsid w:val="00147C9F"/>
    <w:rsid w:val="00152A8D"/>
    <w:rsid w:val="00157447"/>
    <w:rsid w:val="0016388D"/>
    <w:rsid w:val="001668BA"/>
    <w:rsid w:val="0016691B"/>
    <w:rsid w:val="00167451"/>
    <w:rsid w:val="00172C7F"/>
    <w:rsid w:val="0017345A"/>
    <w:rsid w:val="00175D4A"/>
    <w:rsid w:val="00176A56"/>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1F21"/>
    <w:rsid w:val="001C2CC3"/>
    <w:rsid w:val="001C2D15"/>
    <w:rsid w:val="001C3D54"/>
    <w:rsid w:val="001C4567"/>
    <w:rsid w:val="001C6193"/>
    <w:rsid w:val="001D29C2"/>
    <w:rsid w:val="001D76AC"/>
    <w:rsid w:val="001E143E"/>
    <w:rsid w:val="001E346A"/>
    <w:rsid w:val="001E5073"/>
    <w:rsid w:val="001E5C2E"/>
    <w:rsid w:val="001E7A2E"/>
    <w:rsid w:val="001F08FD"/>
    <w:rsid w:val="001F1471"/>
    <w:rsid w:val="001F5C3C"/>
    <w:rsid w:val="001F65F0"/>
    <w:rsid w:val="00200D73"/>
    <w:rsid w:val="002015DC"/>
    <w:rsid w:val="002023C8"/>
    <w:rsid w:val="00203CF2"/>
    <w:rsid w:val="002041F0"/>
    <w:rsid w:val="002045E5"/>
    <w:rsid w:val="002046EA"/>
    <w:rsid w:val="00206388"/>
    <w:rsid w:val="00210955"/>
    <w:rsid w:val="0021115F"/>
    <w:rsid w:val="002151BE"/>
    <w:rsid w:val="0022124B"/>
    <w:rsid w:val="002218D8"/>
    <w:rsid w:val="002220FD"/>
    <w:rsid w:val="00224AA1"/>
    <w:rsid w:val="00224BC8"/>
    <w:rsid w:val="00227F49"/>
    <w:rsid w:val="00231128"/>
    <w:rsid w:val="00231EC4"/>
    <w:rsid w:val="002355CC"/>
    <w:rsid w:val="002410B7"/>
    <w:rsid w:val="002441AC"/>
    <w:rsid w:val="002453C6"/>
    <w:rsid w:val="00251EA1"/>
    <w:rsid w:val="00252C10"/>
    <w:rsid w:val="0025307C"/>
    <w:rsid w:val="00255264"/>
    <w:rsid w:val="002568B3"/>
    <w:rsid w:val="00260277"/>
    <w:rsid w:val="00261D8B"/>
    <w:rsid w:val="00264304"/>
    <w:rsid w:val="00264F8B"/>
    <w:rsid w:val="00270E14"/>
    <w:rsid w:val="00275898"/>
    <w:rsid w:val="00280182"/>
    <w:rsid w:val="0028454F"/>
    <w:rsid w:val="00287023"/>
    <w:rsid w:val="002922CF"/>
    <w:rsid w:val="00293F2E"/>
    <w:rsid w:val="002969F6"/>
    <w:rsid w:val="002B1B79"/>
    <w:rsid w:val="002B2705"/>
    <w:rsid w:val="002B28FF"/>
    <w:rsid w:val="002B30B9"/>
    <w:rsid w:val="002B3A3F"/>
    <w:rsid w:val="002B3A63"/>
    <w:rsid w:val="002B5BE5"/>
    <w:rsid w:val="002B6625"/>
    <w:rsid w:val="002B7F3D"/>
    <w:rsid w:val="002C116C"/>
    <w:rsid w:val="002C1F83"/>
    <w:rsid w:val="002C54F7"/>
    <w:rsid w:val="002C5C71"/>
    <w:rsid w:val="002C72E3"/>
    <w:rsid w:val="002D0A53"/>
    <w:rsid w:val="002D0F4D"/>
    <w:rsid w:val="002D2C6A"/>
    <w:rsid w:val="002E0DD5"/>
    <w:rsid w:val="002E16AD"/>
    <w:rsid w:val="002E2EC2"/>
    <w:rsid w:val="002E336A"/>
    <w:rsid w:val="002E3FC2"/>
    <w:rsid w:val="002E5DA3"/>
    <w:rsid w:val="002F047D"/>
    <w:rsid w:val="002F15E7"/>
    <w:rsid w:val="002F7768"/>
    <w:rsid w:val="00304BF7"/>
    <w:rsid w:val="003060B2"/>
    <w:rsid w:val="003101FD"/>
    <w:rsid w:val="00310DAB"/>
    <w:rsid w:val="00311E62"/>
    <w:rsid w:val="003163A2"/>
    <w:rsid w:val="003165D5"/>
    <w:rsid w:val="003168E2"/>
    <w:rsid w:val="0031764D"/>
    <w:rsid w:val="0032047B"/>
    <w:rsid w:val="0032692D"/>
    <w:rsid w:val="00331596"/>
    <w:rsid w:val="00331E52"/>
    <w:rsid w:val="003328EC"/>
    <w:rsid w:val="00335477"/>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629A"/>
    <w:rsid w:val="003669BA"/>
    <w:rsid w:val="00366A5C"/>
    <w:rsid w:val="003709D6"/>
    <w:rsid w:val="00372986"/>
    <w:rsid w:val="0037642A"/>
    <w:rsid w:val="00377CC0"/>
    <w:rsid w:val="00380070"/>
    <w:rsid w:val="00380311"/>
    <w:rsid w:val="00382B85"/>
    <w:rsid w:val="00384193"/>
    <w:rsid w:val="003860E9"/>
    <w:rsid w:val="00390099"/>
    <w:rsid w:val="0039253D"/>
    <w:rsid w:val="003951B3"/>
    <w:rsid w:val="003A1F7F"/>
    <w:rsid w:val="003A2070"/>
    <w:rsid w:val="003A498D"/>
    <w:rsid w:val="003A61DC"/>
    <w:rsid w:val="003B4E70"/>
    <w:rsid w:val="003B545A"/>
    <w:rsid w:val="003C0423"/>
    <w:rsid w:val="003C15FF"/>
    <w:rsid w:val="003C236A"/>
    <w:rsid w:val="003C26F9"/>
    <w:rsid w:val="003C4976"/>
    <w:rsid w:val="003C6828"/>
    <w:rsid w:val="003C7ADC"/>
    <w:rsid w:val="003D0E78"/>
    <w:rsid w:val="003D15D3"/>
    <w:rsid w:val="003D1F3F"/>
    <w:rsid w:val="003D2E47"/>
    <w:rsid w:val="003D3538"/>
    <w:rsid w:val="003D52BA"/>
    <w:rsid w:val="003D5EED"/>
    <w:rsid w:val="003D60B1"/>
    <w:rsid w:val="003E04ED"/>
    <w:rsid w:val="003E1665"/>
    <w:rsid w:val="003E1868"/>
    <w:rsid w:val="003E2464"/>
    <w:rsid w:val="003E40FA"/>
    <w:rsid w:val="003E449B"/>
    <w:rsid w:val="003E630D"/>
    <w:rsid w:val="003E7019"/>
    <w:rsid w:val="003F22DB"/>
    <w:rsid w:val="003F2314"/>
    <w:rsid w:val="004017CF"/>
    <w:rsid w:val="0040424E"/>
    <w:rsid w:val="00404C9E"/>
    <w:rsid w:val="00405165"/>
    <w:rsid w:val="004057ED"/>
    <w:rsid w:val="00406C96"/>
    <w:rsid w:val="00406D29"/>
    <w:rsid w:val="0041120E"/>
    <w:rsid w:val="004116EB"/>
    <w:rsid w:val="00412564"/>
    <w:rsid w:val="0041301F"/>
    <w:rsid w:val="004144EE"/>
    <w:rsid w:val="004170C2"/>
    <w:rsid w:val="004217D9"/>
    <w:rsid w:val="00421A59"/>
    <w:rsid w:val="00425E1E"/>
    <w:rsid w:val="0042611B"/>
    <w:rsid w:val="004309CD"/>
    <w:rsid w:val="00435018"/>
    <w:rsid w:val="004358D8"/>
    <w:rsid w:val="00435CD5"/>
    <w:rsid w:val="00435FA0"/>
    <w:rsid w:val="004403A2"/>
    <w:rsid w:val="00440F77"/>
    <w:rsid w:val="00442334"/>
    <w:rsid w:val="004518EC"/>
    <w:rsid w:val="00451AB5"/>
    <w:rsid w:val="004523C7"/>
    <w:rsid w:val="00454331"/>
    <w:rsid w:val="004548F7"/>
    <w:rsid w:val="00455B8A"/>
    <w:rsid w:val="00456CB7"/>
    <w:rsid w:val="00456F7D"/>
    <w:rsid w:val="004602B8"/>
    <w:rsid w:val="00460A52"/>
    <w:rsid w:val="0047195A"/>
    <w:rsid w:val="004721C1"/>
    <w:rsid w:val="00476016"/>
    <w:rsid w:val="004822B1"/>
    <w:rsid w:val="00484CF1"/>
    <w:rsid w:val="004851DE"/>
    <w:rsid w:val="00485D35"/>
    <w:rsid w:val="00490DE6"/>
    <w:rsid w:val="00490FE5"/>
    <w:rsid w:val="00491F4D"/>
    <w:rsid w:val="00497416"/>
    <w:rsid w:val="00497E29"/>
    <w:rsid w:val="004A2E72"/>
    <w:rsid w:val="004A4030"/>
    <w:rsid w:val="004A4D1B"/>
    <w:rsid w:val="004A52EC"/>
    <w:rsid w:val="004A5AB8"/>
    <w:rsid w:val="004A6E7D"/>
    <w:rsid w:val="004B2568"/>
    <w:rsid w:val="004B2AB4"/>
    <w:rsid w:val="004B31A9"/>
    <w:rsid w:val="004B6F86"/>
    <w:rsid w:val="004C08E4"/>
    <w:rsid w:val="004C0ABF"/>
    <w:rsid w:val="004C1D06"/>
    <w:rsid w:val="004C2E8B"/>
    <w:rsid w:val="004C4018"/>
    <w:rsid w:val="004C4501"/>
    <w:rsid w:val="004C4C0F"/>
    <w:rsid w:val="004C5073"/>
    <w:rsid w:val="004C69E8"/>
    <w:rsid w:val="004D0FFE"/>
    <w:rsid w:val="004D2668"/>
    <w:rsid w:val="004D351D"/>
    <w:rsid w:val="004D39DA"/>
    <w:rsid w:val="004D7F25"/>
    <w:rsid w:val="004E0B14"/>
    <w:rsid w:val="004E0EA4"/>
    <w:rsid w:val="004E2920"/>
    <w:rsid w:val="004E346A"/>
    <w:rsid w:val="004E64D7"/>
    <w:rsid w:val="004E7892"/>
    <w:rsid w:val="004F095F"/>
    <w:rsid w:val="004F5D20"/>
    <w:rsid w:val="00502D73"/>
    <w:rsid w:val="005045C2"/>
    <w:rsid w:val="00506134"/>
    <w:rsid w:val="00507AE1"/>
    <w:rsid w:val="00510E44"/>
    <w:rsid w:val="00515E83"/>
    <w:rsid w:val="00524645"/>
    <w:rsid w:val="0052749D"/>
    <w:rsid w:val="00527C0E"/>
    <w:rsid w:val="00531673"/>
    <w:rsid w:val="00531928"/>
    <w:rsid w:val="00532623"/>
    <w:rsid w:val="005344FC"/>
    <w:rsid w:val="00540557"/>
    <w:rsid w:val="005408B4"/>
    <w:rsid w:val="00541E64"/>
    <w:rsid w:val="005444F1"/>
    <w:rsid w:val="0054611F"/>
    <w:rsid w:val="00546488"/>
    <w:rsid w:val="0054767C"/>
    <w:rsid w:val="00547DA1"/>
    <w:rsid w:val="00551A81"/>
    <w:rsid w:val="0055783D"/>
    <w:rsid w:val="005600C8"/>
    <w:rsid w:val="00560609"/>
    <w:rsid w:val="00560C13"/>
    <w:rsid w:val="00563B7F"/>
    <w:rsid w:val="00566F16"/>
    <w:rsid w:val="005677DB"/>
    <w:rsid w:val="00573FFC"/>
    <w:rsid w:val="00574693"/>
    <w:rsid w:val="00574BB3"/>
    <w:rsid w:val="005803F7"/>
    <w:rsid w:val="00581987"/>
    <w:rsid w:val="00581F63"/>
    <w:rsid w:val="00584508"/>
    <w:rsid w:val="00587A1E"/>
    <w:rsid w:val="005903B5"/>
    <w:rsid w:val="00594FB1"/>
    <w:rsid w:val="005A1E6C"/>
    <w:rsid w:val="005A37C2"/>
    <w:rsid w:val="005A761E"/>
    <w:rsid w:val="005B2AC9"/>
    <w:rsid w:val="005B390B"/>
    <w:rsid w:val="005B4BB7"/>
    <w:rsid w:val="005B5978"/>
    <w:rsid w:val="005C5900"/>
    <w:rsid w:val="005C676B"/>
    <w:rsid w:val="005D31AF"/>
    <w:rsid w:val="005D5762"/>
    <w:rsid w:val="005D7175"/>
    <w:rsid w:val="005E06A5"/>
    <w:rsid w:val="005E1C3A"/>
    <w:rsid w:val="005E2359"/>
    <w:rsid w:val="005E235E"/>
    <w:rsid w:val="005E2475"/>
    <w:rsid w:val="005E28AD"/>
    <w:rsid w:val="005E29EE"/>
    <w:rsid w:val="005E3882"/>
    <w:rsid w:val="005E722A"/>
    <w:rsid w:val="005F280A"/>
    <w:rsid w:val="005F41B8"/>
    <w:rsid w:val="005F4AB9"/>
    <w:rsid w:val="00600A12"/>
    <w:rsid w:val="00601628"/>
    <w:rsid w:val="00602D4D"/>
    <w:rsid w:val="0060669E"/>
    <w:rsid w:val="006071D3"/>
    <w:rsid w:val="0060743C"/>
    <w:rsid w:val="0060755A"/>
    <w:rsid w:val="006075F2"/>
    <w:rsid w:val="006105A1"/>
    <w:rsid w:val="00611239"/>
    <w:rsid w:val="00614E01"/>
    <w:rsid w:val="00615370"/>
    <w:rsid w:val="00615E1A"/>
    <w:rsid w:val="006178D5"/>
    <w:rsid w:val="00620A74"/>
    <w:rsid w:val="00626959"/>
    <w:rsid w:val="00631F4F"/>
    <w:rsid w:val="0063317B"/>
    <w:rsid w:val="00637D26"/>
    <w:rsid w:val="00643801"/>
    <w:rsid w:val="00650D87"/>
    <w:rsid w:val="00651CDF"/>
    <w:rsid w:val="006531DF"/>
    <w:rsid w:val="00655670"/>
    <w:rsid w:val="00655CE5"/>
    <w:rsid w:val="00657094"/>
    <w:rsid w:val="006640C6"/>
    <w:rsid w:val="00665358"/>
    <w:rsid w:val="00666A32"/>
    <w:rsid w:val="00667E62"/>
    <w:rsid w:val="006751DB"/>
    <w:rsid w:val="0067661B"/>
    <w:rsid w:val="0068049C"/>
    <w:rsid w:val="0068164D"/>
    <w:rsid w:val="006821CE"/>
    <w:rsid w:val="00684C93"/>
    <w:rsid w:val="0068688C"/>
    <w:rsid w:val="006908F9"/>
    <w:rsid w:val="00693F7C"/>
    <w:rsid w:val="0069562A"/>
    <w:rsid w:val="006A0759"/>
    <w:rsid w:val="006A423D"/>
    <w:rsid w:val="006A6ED3"/>
    <w:rsid w:val="006A7D1A"/>
    <w:rsid w:val="006B046D"/>
    <w:rsid w:val="006B7EE1"/>
    <w:rsid w:val="006C0BAD"/>
    <w:rsid w:val="006C14DE"/>
    <w:rsid w:val="006C197E"/>
    <w:rsid w:val="006C4D3A"/>
    <w:rsid w:val="006C4F49"/>
    <w:rsid w:val="006D421B"/>
    <w:rsid w:val="006D4887"/>
    <w:rsid w:val="006D5E5C"/>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1AE5"/>
    <w:rsid w:val="007247BC"/>
    <w:rsid w:val="00725056"/>
    <w:rsid w:val="00725C9D"/>
    <w:rsid w:val="00725E0A"/>
    <w:rsid w:val="007263DF"/>
    <w:rsid w:val="00727144"/>
    <w:rsid w:val="00727CAA"/>
    <w:rsid w:val="0073038D"/>
    <w:rsid w:val="00731BE8"/>
    <w:rsid w:val="00731CA6"/>
    <w:rsid w:val="007335CE"/>
    <w:rsid w:val="007338D5"/>
    <w:rsid w:val="00737949"/>
    <w:rsid w:val="007404B7"/>
    <w:rsid w:val="00740C38"/>
    <w:rsid w:val="00741558"/>
    <w:rsid w:val="00741C3E"/>
    <w:rsid w:val="00744123"/>
    <w:rsid w:val="00744FA7"/>
    <w:rsid w:val="00745900"/>
    <w:rsid w:val="00751A72"/>
    <w:rsid w:val="00752C08"/>
    <w:rsid w:val="0075471F"/>
    <w:rsid w:val="007561BC"/>
    <w:rsid w:val="00757B95"/>
    <w:rsid w:val="007612FC"/>
    <w:rsid w:val="0076137A"/>
    <w:rsid w:val="00761FC8"/>
    <w:rsid w:val="00762956"/>
    <w:rsid w:val="00763F22"/>
    <w:rsid w:val="007656F5"/>
    <w:rsid w:val="00766B52"/>
    <w:rsid w:val="00766EAA"/>
    <w:rsid w:val="00767F2F"/>
    <w:rsid w:val="00770754"/>
    <w:rsid w:val="00770938"/>
    <w:rsid w:val="00770E76"/>
    <w:rsid w:val="0077234F"/>
    <w:rsid w:val="00777C4D"/>
    <w:rsid w:val="00785B13"/>
    <w:rsid w:val="00786B62"/>
    <w:rsid w:val="00790EC9"/>
    <w:rsid w:val="00793CA5"/>
    <w:rsid w:val="00796EED"/>
    <w:rsid w:val="007A0367"/>
    <w:rsid w:val="007A414E"/>
    <w:rsid w:val="007A4278"/>
    <w:rsid w:val="007A541E"/>
    <w:rsid w:val="007A5609"/>
    <w:rsid w:val="007B00AB"/>
    <w:rsid w:val="007B0E6E"/>
    <w:rsid w:val="007B1B42"/>
    <w:rsid w:val="007B5B69"/>
    <w:rsid w:val="007B5CDC"/>
    <w:rsid w:val="007B5E7E"/>
    <w:rsid w:val="007B6206"/>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558"/>
    <w:rsid w:val="007D5D28"/>
    <w:rsid w:val="007D7074"/>
    <w:rsid w:val="007D7EF0"/>
    <w:rsid w:val="007E0198"/>
    <w:rsid w:val="007E062F"/>
    <w:rsid w:val="007E0C1C"/>
    <w:rsid w:val="007E1DC7"/>
    <w:rsid w:val="007E20D4"/>
    <w:rsid w:val="007E3F4B"/>
    <w:rsid w:val="007E5F2A"/>
    <w:rsid w:val="007E737C"/>
    <w:rsid w:val="007F02AD"/>
    <w:rsid w:val="007F0E3A"/>
    <w:rsid w:val="007F1E23"/>
    <w:rsid w:val="007F3E2A"/>
    <w:rsid w:val="00800A38"/>
    <w:rsid w:val="0080144A"/>
    <w:rsid w:val="00804E0B"/>
    <w:rsid w:val="00804FFD"/>
    <w:rsid w:val="00805E07"/>
    <w:rsid w:val="00806F2F"/>
    <w:rsid w:val="00811426"/>
    <w:rsid w:val="008171F9"/>
    <w:rsid w:val="008178C4"/>
    <w:rsid w:val="0082024C"/>
    <w:rsid w:val="00820D03"/>
    <w:rsid w:val="00821062"/>
    <w:rsid w:val="00822A86"/>
    <w:rsid w:val="00823104"/>
    <w:rsid w:val="0082385F"/>
    <w:rsid w:val="008244EF"/>
    <w:rsid w:val="008263B0"/>
    <w:rsid w:val="008306EA"/>
    <w:rsid w:val="008318F5"/>
    <w:rsid w:val="00832508"/>
    <w:rsid w:val="00832D5F"/>
    <w:rsid w:val="00833925"/>
    <w:rsid w:val="00836E9E"/>
    <w:rsid w:val="00837FC9"/>
    <w:rsid w:val="0084113A"/>
    <w:rsid w:val="0084160E"/>
    <w:rsid w:val="00841EC8"/>
    <w:rsid w:val="00842435"/>
    <w:rsid w:val="00842AF5"/>
    <w:rsid w:val="008461DF"/>
    <w:rsid w:val="008469D2"/>
    <w:rsid w:val="0084749E"/>
    <w:rsid w:val="00852E92"/>
    <w:rsid w:val="00853600"/>
    <w:rsid w:val="00853E1F"/>
    <w:rsid w:val="00861E54"/>
    <w:rsid w:val="00863530"/>
    <w:rsid w:val="0086423F"/>
    <w:rsid w:val="00867497"/>
    <w:rsid w:val="008703F5"/>
    <w:rsid w:val="00872B23"/>
    <w:rsid w:val="008761B3"/>
    <w:rsid w:val="00876EB3"/>
    <w:rsid w:val="00884B82"/>
    <w:rsid w:val="00885FAB"/>
    <w:rsid w:val="008870FF"/>
    <w:rsid w:val="00892098"/>
    <w:rsid w:val="00893C1D"/>
    <w:rsid w:val="00894B45"/>
    <w:rsid w:val="0089556C"/>
    <w:rsid w:val="008955E5"/>
    <w:rsid w:val="008A0D0C"/>
    <w:rsid w:val="008A7912"/>
    <w:rsid w:val="008B2593"/>
    <w:rsid w:val="008B3172"/>
    <w:rsid w:val="008B3DD7"/>
    <w:rsid w:val="008B3F0B"/>
    <w:rsid w:val="008B5E44"/>
    <w:rsid w:val="008C0A35"/>
    <w:rsid w:val="008C3079"/>
    <w:rsid w:val="008C59A3"/>
    <w:rsid w:val="008C69E1"/>
    <w:rsid w:val="008D00DA"/>
    <w:rsid w:val="008D28AA"/>
    <w:rsid w:val="008D2E58"/>
    <w:rsid w:val="008D3317"/>
    <w:rsid w:val="008D3660"/>
    <w:rsid w:val="008D3940"/>
    <w:rsid w:val="008D6CBF"/>
    <w:rsid w:val="008D7EA6"/>
    <w:rsid w:val="008E1EE0"/>
    <w:rsid w:val="008E4392"/>
    <w:rsid w:val="008E68DC"/>
    <w:rsid w:val="008F3AF2"/>
    <w:rsid w:val="008F4213"/>
    <w:rsid w:val="008F6DEB"/>
    <w:rsid w:val="008F72D0"/>
    <w:rsid w:val="00900F88"/>
    <w:rsid w:val="00905184"/>
    <w:rsid w:val="00905282"/>
    <w:rsid w:val="00905F0E"/>
    <w:rsid w:val="00906F9C"/>
    <w:rsid w:val="009073A6"/>
    <w:rsid w:val="00910B05"/>
    <w:rsid w:val="00914371"/>
    <w:rsid w:val="009159E6"/>
    <w:rsid w:val="0091636B"/>
    <w:rsid w:val="009164B0"/>
    <w:rsid w:val="00920FE9"/>
    <w:rsid w:val="00927F93"/>
    <w:rsid w:val="00931C63"/>
    <w:rsid w:val="0093369D"/>
    <w:rsid w:val="00935C4E"/>
    <w:rsid w:val="00936F65"/>
    <w:rsid w:val="00940080"/>
    <w:rsid w:val="009409F1"/>
    <w:rsid w:val="00940CA6"/>
    <w:rsid w:val="009417A8"/>
    <w:rsid w:val="00943A94"/>
    <w:rsid w:val="0094456F"/>
    <w:rsid w:val="00947111"/>
    <w:rsid w:val="00951705"/>
    <w:rsid w:val="0095418A"/>
    <w:rsid w:val="009547C8"/>
    <w:rsid w:val="00965330"/>
    <w:rsid w:val="00970425"/>
    <w:rsid w:val="0097172E"/>
    <w:rsid w:val="00971ED3"/>
    <w:rsid w:val="00972404"/>
    <w:rsid w:val="009758DF"/>
    <w:rsid w:val="00976D73"/>
    <w:rsid w:val="00984D41"/>
    <w:rsid w:val="00992790"/>
    <w:rsid w:val="009930EA"/>
    <w:rsid w:val="009951E8"/>
    <w:rsid w:val="00995AFD"/>
    <w:rsid w:val="009968B0"/>
    <w:rsid w:val="009968DE"/>
    <w:rsid w:val="00997450"/>
    <w:rsid w:val="009A043E"/>
    <w:rsid w:val="009A1A74"/>
    <w:rsid w:val="009A48EA"/>
    <w:rsid w:val="009A6818"/>
    <w:rsid w:val="009B06CB"/>
    <w:rsid w:val="009B2853"/>
    <w:rsid w:val="009B3CE4"/>
    <w:rsid w:val="009B412D"/>
    <w:rsid w:val="009B4D7F"/>
    <w:rsid w:val="009B6381"/>
    <w:rsid w:val="009B72E8"/>
    <w:rsid w:val="009B7B35"/>
    <w:rsid w:val="009C08D9"/>
    <w:rsid w:val="009C3C49"/>
    <w:rsid w:val="009C507A"/>
    <w:rsid w:val="009C5273"/>
    <w:rsid w:val="009C5719"/>
    <w:rsid w:val="009C63BE"/>
    <w:rsid w:val="009D13FD"/>
    <w:rsid w:val="009D1A54"/>
    <w:rsid w:val="009D33DA"/>
    <w:rsid w:val="009D36A1"/>
    <w:rsid w:val="009D3FB6"/>
    <w:rsid w:val="009D5130"/>
    <w:rsid w:val="009D7117"/>
    <w:rsid w:val="009E28B7"/>
    <w:rsid w:val="009E55FA"/>
    <w:rsid w:val="009F1E3E"/>
    <w:rsid w:val="009F21CA"/>
    <w:rsid w:val="009F314E"/>
    <w:rsid w:val="009F64BB"/>
    <w:rsid w:val="009F685C"/>
    <w:rsid w:val="009F6B69"/>
    <w:rsid w:val="009F6EC4"/>
    <w:rsid w:val="00A011DC"/>
    <w:rsid w:val="00A02E8F"/>
    <w:rsid w:val="00A02F45"/>
    <w:rsid w:val="00A071FD"/>
    <w:rsid w:val="00A12681"/>
    <w:rsid w:val="00A134FD"/>
    <w:rsid w:val="00A15897"/>
    <w:rsid w:val="00A1659C"/>
    <w:rsid w:val="00A16B83"/>
    <w:rsid w:val="00A171C1"/>
    <w:rsid w:val="00A21E21"/>
    <w:rsid w:val="00A228CA"/>
    <w:rsid w:val="00A233B3"/>
    <w:rsid w:val="00A23949"/>
    <w:rsid w:val="00A3035D"/>
    <w:rsid w:val="00A30BD1"/>
    <w:rsid w:val="00A30DB3"/>
    <w:rsid w:val="00A31047"/>
    <w:rsid w:val="00A36F50"/>
    <w:rsid w:val="00A4321C"/>
    <w:rsid w:val="00A43674"/>
    <w:rsid w:val="00A43F5B"/>
    <w:rsid w:val="00A43FF1"/>
    <w:rsid w:val="00A44384"/>
    <w:rsid w:val="00A448E2"/>
    <w:rsid w:val="00A46CD1"/>
    <w:rsid w:val="00A46F06"/>
    <w:rsid w:val="00A50145"/>
    <w:rsid w:val="00A5514B"/>
    <w:rsid w:val="00A55C68"/>
    <w:rsid w:val="00A563B3"/>
    <w:rsid w:val="00A56E6C"/>
    <w:rsid w:val="00A57B22"/>
    <w:rsid w:val="00A61FB5"/>
    <w:rsid w:val="00A63073"/>
    <w:rsid w:val="00A63A70"/>
    <w:rsid w:val="00A6554D"/>
    <w:rsid w:val="00A66432"/>
    <w:rsid w:val="00A66D7C"/>
    <w:rsid w:val="00A812E9"/>
    <w:rsid w:val="00A816B7"/>
    <w:rsid w:val="00A86F70"/>
    <w:rsid w:val="00A969F9"/>
    <w:rsid w:val="00AA29F8"/>
    <w:rsid w:val="00AA2DA1"/>
    <w:rsid w:val="00AA440E"/>
    <w:rsid w:val="00AA454E"/>
    <w:rsid w:val="00AA48A8"/>
    <w:rsid w:val="00AA647A"/>
    <w:rsid w:val="00AA7552"/>
    <w:rsid w:val="00AB1C50"/>
    <w:rsid w:val="00AB742F"/>
    <w:rsid w:val="00AB7B6F"/>
    <w:rsid w:val="00AB7CD0"/>
    <w:rsid w:val="00AC3DE9"/>
    <w:rsid w:val="00AD283B"/>
    <w:rsid w:val="00AD400A"/>
    <w:rsid w:val="00AD42F4"/>
    <w:rsid w:val="00AD6CF7"/>
    <w:rsid w:val="00AD7100"/>
    <w:rsid w:val="00AD78CC"/>
    <w:rsid w:val="00AE01F0"/>
    <w:rsid w:val="00AE4960"/>
    <w:rsid w:val="00AE63CB"/>
    <w:rsid w:val="00AF316F"/>
    <w:rsid w:val="00AF4D76"/>
    <w:rsid w:val="00AF66A9"/>
    <w:rsid w:val="00B01FAF"/>
    <w:rsid w:val="00B02EBA"/>
    <w:rsid w:val="00B07965"/>
    <w:rsid w:val="00B1689D"/>
    <w:rsid w:val="00B17158"/>
    <w:rsid w:val="00B17FAC"/>
    <w:rsid w:val="00B22248"/>
    <w:rsid w:val="00B24CC2"/>
    <w:rsid w:val="00B26509"/>
    <w:rsid w:val="00B27957"/>
    <w:rsid w:val="00B4256A"/>
    <w:rsid w:val="00B45CBD"/>
    <w:rsid w:val="00B5106C"/>
    <w:rsid w:val="00B513DD"/>
    <w:rsid w:val="00B528E6"/>
    <w:rsid w:val="00B5496D"/>
    <w:rsid w:val="00B549D1"/>
    <w:rsid w:val="00B554CC"/>
    <w:rsid w:val="00B57493"/>
    <w:rsid w:val="00B60579"/>
    <w:rsid w:val="00B60618"/>
    <w:rsid w:val="00B60EB2"/>
    <w:rsid w:val="00B63335"/>
    <w:rsid w:val="00B733BF"/>
    <w:rsid w:val="00B76CAA"/>
    <w:rsid w:val="00B8129A"/>
    <w:rsid w:val="00B83D38"/>
    <w:rsid w:val="00B86C64"/>
    <w:rsid w:val="00B879D1"/>
    <w:rsid w:val="00B9038B"/>
    <w:rsid w:val="00B91371"/>
    <w:rsid w:val="00B916E6"/>
    <w:rsid w:val="00B91DC2"/>
    <w:rsid w:val="00B934BF"/>
    <w:rsid w:val="00B9461F"/>
    <w:rsid w:val="00B96186"/>
    <w:rsid w:val="00BA413B"/>
    <w:rsid w:val="00BA43E2"/>
    <w:rsid w:val="00BA4E48"/>
    <w:rsid w:val="00BA63F2"/>
    <w:rsid w:val="00BA7EBC"/>
    <w:rsid w:val="00BB2303"/>
    <w:rsid w:val="00BB3D24"/>
    <w:rsid w:val="00BB6050"/>
    <w:rsid w:val="00BC0A7A"/>
    <w:rsid w:val="00BC1B6F"/>
    <w:rsid w:val="00BC69BD"/>
    <w:rsid w:val="00BD16B5"/>
    <w:rsid w:val="00BD18B6"/>
    <w:rsid w:val="00BD4759"/>
    <w:rsid w:val="00BD5399"/>
    <w:rsid w:val="00BD68E7"/>
    <w:rsid w:val="00BD6C22"/>
    <w:rsid w:val="00BD7B69"/>
    <w:rsid w:val="00BE14DC"/>
    <w:rsid w:val="00BE2CB5"/>
    <w:rsid w:val="00BE5462"/>
    <w:rsid w:val="00BE6112"/>
    <w:rsid w:val="00BE771E"/>
    <w:rsid w:val="00BE7F89"/>
    <w:rsid w:val="00BF3C1E"/>
    <w:rsid w:val="00BF48A6"/>
    <w:rsid w:val="00BF76D6"/>
    <w:rsid w:val="00C04A03"/>
    <w:rsid w:val="00C05F93"/>
    <w:rsid w:val="00C101E9"/>
    <w:rsid w:val="00C104BA"/>
    <w:rsid w:val="00C134A5"/>
    <w:rsid w:val="00C14727"/>
    <w:rsid w:val="00C21602"/>
    <w:rsid w:val="00C248C8"/>
    <w:rsid w:val="00C250E5"/>
    <w:rsid w:val="00C25C1E"/>
    <w:rsid w:val="00C26D59"/>
    <w:rsid w:val="00C30A79"/>
    <w:rsid w:val="00C30F11"/>
    <w:rsid w:val="00C32EE2"/>
    <w:rsid w:val="00C33394"/>
    <w:rsid w:val="00C34904"/>
    <w:rsid w:val="00C36BBB"/>
    <w:rsid w:val="00C379BE"/>
    <w:rsid w:val="00C4126E"/>
    <w:rsid w:val="00C45147"/>
    <w:rsid w:val="00C46A41"/>
    <w:rsid w:val="00C51CFE"/>
    <w:rsid w:val="00C536A5"/>
    <w:rsid w:val="00C54B49"/>
    <w:rsid w:val="00C54CFB"/>
    <w:rsid w:val="00C55D29"/>
    <w:rsid w:val="00C57221"/>
    <w:rsid w:val="00C5781F"/>
    <w:rsid w:val="00C60496"/>
    <w:rsid w:val="00C62380"/>
    <w:rsid w:val="00C625F8"/>
    <w:rsid w:val="00C63C30"/>
    <w:rsid w:val="00C66D95"/>
    <w:rsid w:val="00C71BC8"/>
    <w:rsid w:val="00C7231D"/>
    <w:rsid w:val="00C75756"/>
    <w:rsid w:val="00C75B61"/>
    <w:rsid w:val="00C76237"/>
    <w:rsid w:val="00C76746"/>
    <w:rsid w:val="00C7705C"/>
    <w:rsid w:val="00C80923"/>
    <w:rsid w:val="00C81377"/>
    <w:rsid w:val="00C81ACC"/>
    <w:rsid w:val="00C85928"/>
    <w:rsid w:val="00C85DB7"/>
    <w:rsid w:val="00C91019"/>
    <w:rsid w:val="00C9135E"/>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4764"/>
    <w:rsid w:val="00CB6576"/>
    <w:rsid w:val="00CB6A5B"/>
    <w:rsid w:val="00CB6B80"/>
    <w:rsid w:val="00CB78C0"/>
    <w:rsid w:val="00CC0FA0"/>
    <w:rsid w:val="00CC23D1"/>
    <w:rsid w:val="00CC30C7"/>
    <w:rsid w:val="00CC6C70"/>
    <w:rsid w:val="00CC7790"/>
    <w:rsid w:val="00CD43AB"/>
    <w:rsid w:val="00CD5305"/>
    <w:rsid w:val="00CE284D"/>
    <w:rsid w:val="00CE2B82"/>
    <w:rsid w:val="00CE5431"/>
    <w:rsid w:val="00CE5E09"/>
    <w:rsid w:val="00CE693D"/>
    <w:rsid w:val="00CE6F60"/>
    <w:rsid w:val="00CF074B"/>
    <w:rsid w:val="00CF24FD"/>
    <w:rsid w:val="00CF3D69"/>
    <w:rsid w:val="00CF50C2"/>
    <w:rsid w:val="00CF56FE"/>
    <w:rsid w:val="00CF72E7"/>
    <w:rsid w:val="00D01282"/>
    <w:rsid w:val="00D03559"/>
    <w:rsid w:val="00D042A3"/>
    <w:rsid w:val="00D0627C"/>
    <w:rsid w:val="00D06285"/>
    <w:rsid w:val="00D10387"/>
    <w:rsid w:val="00D151B6"/>
    <w:rsid w:val="00D15E6A"/>
    <w:rsid w:val="00D15EF3"/>
    <w:rsid w:val="00D16928"/>
    <w:rsid w:val="00D17E51"/>
    <w:rsid w:val="00D2017D"/>
    <w:rsid w:val="00D2537D"/>
    <w:rsid w:val="00D26395"/>
    <w:rsid w:val="00D34304"/>
    <w:rsid w:val="00D35959"/>
    <w:rsid w:val="00D363F1"/>
    <w:rsid w:val="00D36585"/>
    <w:rsid w:val="00D401CA"/>
    <w:rsid w:val="00D41466"/>
    <w:rsid w:val="00D46952"/>
    <w:rsid w:val="00D51B3D"/>
    <w:rsid w:val="00D625E1"/>
    <w:rsid w:val="00D63943"/>
    <w:rsid w:val="00D65F49"/>
    <w:rsid w:val="00D6623E"/>
    <w:rsid w:val="00D70BEE"/>
    <w:rsid w:val="00D71B59"/>
    <w:rsid w:val="00D72BF6"/>
    <w:rsid w:val="00D7374A"/>
    <w:rsid w:val="00D74665"/>
    <w:rsid w:val="00D7627F"/>
    <w:rsid w:val="00D76818"/>
    <w:rsid w:val="00D7745C"/>
    <w:rsid w:val="00D82743"/>
    <w:rsid w:val="00D8432F"/>
    <w:rsid w:val="00D86A3F"/>
    <w:rsid w:val="00D9118C"/>
    <w:rsid w:val="00D911FA"/>
    <w:rsid w:val="00D914F6"/>
    <w:rsid w:val="00D97C10"/>
    <w:rsid w:val="00DA17C3"/>
    <w:rsid w:val="00DA3035"/>
    <w:rsid w:val="00DA36E6"/>
    <w:rsid w:val="00DA3B81"/>
    <w:rsid w:val="00DA4C4E"/>
    <w:rsid w:val="00DA790E"/>
    <w:rsid w:val="00DB202E"/>
    <w:rsid w:val="00DB3973"/>
    <w:rsid w:val="00DB5F37"/>
    <w:rsid w:val="00DB65E5"/>
    <w:rsid w:val="00DB7B41"/>
    <w:rsid w:val="00DC011D"/>
    <w:rsid w:val="00DC2AA5"/>
    <w:rsid w:val="00DC31A5"/>
    <w:rsid w:val="00DC4010"/>
    <w:rsid w:val="00DC6A19"/>
    <w:rsid w:val="00DD1F32"/>
    <w:rsid w:val="00DD2AD0"/>
    <w:rsid w:val="00DD2BEA"/>
    <w:rsid w:val="00DD6AC2"/>
    <w:rsid w:val="00DE03BB"/>
    <w:rsid w:val="00DE1429"/>
    <w:rsid w:val="00DE2D36"/>
    <w:rsid w:val="00DE3F5D"/>
    <w:rsid w:val="00DE6991"/>
    <w:rsid w:val="00DF02D5"/>
    <w:rsid w:val="00DF19DB"/>
    <w:rsid w:val="00DF2643"/>
    <w:rsid w:val="00DF4C64"/>
    <w:rsid w:val="00E02369"/>
    <w:rsid w:val="00E0281A"/>
    <w:rsid w:val="00E02EE3"/>
    <w:rsid w:val="00E02F72"/>
    <w:rsid w:val="00E05C90"/>
    <w:rsid w:val="00E063AD"/>
    <w:rsid w:val="00E122A3"/>
    <w:rsid w:val="00E14AEE"/>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1BDB"/>
    <w:rsid w:val="00E442F9"/>
    <w:rsid w:val="00E50608"/>
    <w:rsid w:val="00E52E62"/>
    <w:rsid w:val="00E53E6E"/>
    <w:rsid w:val="00E53FAC"/>
    <w:rsid w:val="00E549CD"/>
    <w:rsid w:val="00E55BCD"/>
    <w:rsid w:val="00E55E41"/>
    <w:rsid w:val="00E5613C"/>
    <w:rsid w:val="00E5743E"/>
    <w:rsid w:val="00E57569"/>
    <w:rsid w:val="00E57589"/>
    <w:rsid w:val="00E638AE"/>
    <w:rsid w:val="00E66CED"/>
    <w:rsid w:val="00E72535"/>
    <w:rsid w:val="00E72853"/>
    <w:rsid w:val="00E73FB9"/>
    <w:rsid w:val="00E7576F"/>
    <w:rsid w:val="00E76A81"/>
    <w:rsid w:val="00E76D93"/>
    <w:rsid w:val="00E776C4"/>
    <w:rsid w:val="00E80263"/>
    <w:rsid w:val="00E8057C"/>
    <w:rsid w:val="00E8454E"/>
    <w:rsid w:val="00E87E68"/>
    <w:rsid w:val="00E94BC2"/>
    <w:rsid w:val="00E9589C"/>
    <w:rsid w:val="00E95967"/>
    <w:rsid w:val="00E969A3"/>
    <w:rsid w:val="00EA051A"/>
    <w:rsid w:val="00EA2B5A"/>
    <w:rsid w:val="00EA4525"/>
    <w:rsid w:val="00EA484B"/>
    <w:rsid w:val="00EB0A9F"/>
    <w:rsid w:val="00EB1586"/>
    <w:rsid w:val="00EB2A1C"/>
    <w:rsid w:val="00EB464C"/>
    <w:rsid w:val="00EB7F07"/>
    <w:rsid w:val="00EC30FC"/>
    <w:rsid w:val="00EC6309"/>
    <w:rsid w:val="00EC707F"/>
    <w:rsid w:val="00ED1CFC"/>
    <w:rsid w:val="00ED4AEF"/>
    <w:rsid w:val="00EE1758"/>
    <w:rsid w:val="00EE3252"/>
    <w:rsid w:val="00EE3801"/>
    <w:rsid w:val="00EE42E9"/>
    <w:rsid w:val="00EE52AA"/>
    <w:rsid w:val="00EE60D9"/>
    <w:rsid w:val="00EF0155"/>
    <w:rsid w:val="00EF084C"/>
    <w:rsid w:val="00EF2167"/>
    <w:rsid w:val="00EF35FB"/>
    <w:rsid w:val="00EF5049"/>
    <w:rsid w:val="00EF64FE"/>
    <w:rsid w:val="00EF6C93"/>
    <w:rsid w:val="00F003BE"/>
    <w:rsid w:val="00F03211"/>
    <w:rsid w:val="00F0518F"/>
    <w:rsid w:val="00F1117F"/>
    <w:rsid w:val="00F1639C"/>
    <w:rsid w:val="00F16805"/>
    <w:rsid w:val="00F22844"/>
    <w:rsid w:val="00F25746"/>
    <w:rsid w:val="00F270D7"/>
    <w:rsid w:val="00F32255"/>
    <w:rsid w:val="00F33DC8"/>
    <w:rsid w:val="00F35C6F"/>
    <w:rsid w:val="00F35E9D"/>
    <w:rsid w:val="00F417C1"/>
    <w:rsid w:val="00F42744"/>
    <w:rsid w:val="00F42B14"/>
    <w:rsid w:val="00F44199"/>
    <w:rsid w:val="00F45304"/>
    <w:rsid w:val="00F52536"/>
    <w:rsid w:val="00F5425F"/>
    <w:rsid w:val="00F54493"/>
    <w:rsid w:val="00F572CC"/>
    <w:rsid w:val="00F600E8"/>
    <w:rsid w:val="00F60347"/>
    <w:rsid w:val="00F62737"/>
    <w:rsid w:val="00F65016"/>
    <w:rsid w:val="00F6601A"/>
    <w:rsid w:val="00F6781D"/>
    <w:rsid w:val="00F73849"/>
    <w:rsid w:val="00F75622"/>
    <w:rsid w:val="00F7574A"/>
    <w:rsid w:val="00F7695E"/>
    <w:rsid w:val="00F7741C"/>
    <w:rsid w:val="00F81D19"/>
    <w:rsid w:val="00F852C6"/>
    <w:rsid w:val="00F85B40"/>
    <w:rsid w:val="00F867FA"/>
    <w:rsid w:val="00F90F23"/>
    <w:rsid w:val="00F91215"/>
    <w:rsid w:val="00F92134"/>
    <w:rsid w:val="00F93AB5"/>
    <w:rsid w:val="00F97961"/>
    <w:rsid w:val="00FA081F"/>
    <w:rsid w:val="00FA1C56"/>
    <w:rsid w:val="00FA5844"/>
    <w:rsid w:val="00FA6340"/>
    <w:rsid w:val="00FB0338"/>
    <w:rsid w:val="00FB224E"/>
    <w:rsid w:val="00FB3474"/>
    <w:rsid w:val="00FB52B6"/>
    <w:rsid w:val="00FB78D0"/>
    <w:rsid w:val="00FC0DA0"/>
    <w:rsid w:val="00FC1688"/>
    <w:rsid w:val="00FC1AE2"/>
    <w:rsid w:val="00FC2963"/>
    <w:rsid w:val="00FC30E5"/>
    <w:rsid w:val="00FC6F02"/>
    <w:rsid w:val="00FD46F4"/>
    <w:rsid w:val="00FD6D59"/>
    <w:rsid w:val="00FE0BBD"/>
    <w:rsid w:val="00FE5451"/>
    <w:rsid w:val="00FF064E"/>
    <w:rsid w:val="00FF156A"/>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04"/>
    <w:rPr>
      <w:rFonts w:ascii="Times New Roman" w:eastAsia="Times New Roman" w:hAnsi="Times New Roman" w:cs="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Тире"/>
    <w:basedOn w:val="Normal"/>
    <w:uiPriority w:val="99"/>
    <w:rsid w:val="00725056"/>
    <w:pPr>
      <w:numPr>
        <w:numId w:val="1"/>
      </w:numPr>
      <w:spacing w:after="120"/>
      <w:jc w:val="both"/>
    </w:pPr>
  </w:style>
  <w:style w:type="paragraph" w:customStyle="1" w:styleId="a">
    <w:name w:val="Номер)"/>
    <w:basedOn w:val="Normal"/>
    <w:uiPriority w:val="99"/>
    <w:rsid w:val="00725056"/>
    <w:pPr>
      <w:numPr>
        <w:numId w:val="2"/>
      </w:numPr>
      <w:spacing w:after="120"/>
      <w:jc w:val="both"/>
    </w:pPr>
  </w:style>
  <w:style w:type="paragraph" w:customStyle="1" w:styleId="a0">
    <w:name w:val="Номер"/>
    <w:basedOn w:val="Normal"/>
    <w:uiPriority w:val="99"/>
    <w:rsid w:val="00F6781D"/>
    <w:pPr>
      <w:numPr>
        <w:numId w:val="38"/>
      </w:numPr>
      <w:spacing w:before="120" w:after="120"/>
      <w:jc w:val="both"/>
    </w:pPr>
  </w:style>
  <w:style w:type="paragraph" w:styleId="Revision">
    <w:name w:val="Revision"/>
    <w:hidden/>
    <w:uiPriority w:val="99"/>
    <w:semiHidden/>
    <w:rsid w:val="00B554CC"/>
    <w:rPr>
      <w:rFonts w:ascii="Times New Roman" w:eastAsia="Times New Roman" w:hAnsi="Times New Roman" w:cs="Times New Roman"/>
      <w:sz w:val="24"/>
      <w:szCs w:val="24"/>
      <w:lang w:val="uk-UA"/>
    </w:rPr>
  </w:style>
  <w:style w:type="paragraph" w:styleId="ListParagraph">
    <w:name w:val="List Paragraph"/>
    <w:aliases w:val="Bullet List,FooterText,numbered,Paragraphe de liste1,lp1,GOST_TableList,AC List 01,Chapter10,Список уровня 2,название табл/рис,Number Bullets"/>
    <w:basedOn w:val="Normal"/>
    <w:link w:val="ListParagraphChar"/>
    <w:uiPriority w:val="99"/>
    <w:qFormat/>
    <w:rsid w:val="003C26F9"/>
    <w:pPr>
      <w:ind w:left="720"/>
      <w:contextualSpacing/>
    </w:pPr>
    <w:rPr>
      <w:rFonts w:eastAsia="Calibri"/>
      <w:szCs w:val="20"/>
      <w:lang w:val="ru-RU"/>
    </w:rPr>
  </w:style>
  <w:style w:type="paragraph" w:styleId="Footer">
    <w:name w:val="footer"/>
    <w:basedOn w:val="Normal"/>
    <w:link w:val="FooterChar"/>
    <w:uiPriority w:val="99"/>
    <w:semiHidden/>
    <w:rsid w:val="00F417C1"/>
    <w:pPr>
      <w:tabs>
        <w:tab w:val="center" w:pos="4819"/>
        <w:tab w:val="right" w:pos="9639"/>
      </w:tabs>
    </w:pPr>
  </w:style>
  <w:style w:type="character" w:customStyle="1" w:styleId="FooterChar">
    <w:name w:val="Footer Char"/>
    <w:basedOn w:val="DefaultParagraphFont"/>
    <w:link w:val="Footer"/>
    <w:uiPriority w:val="99"/>
    <w:semiHidden/>
    <w:locked/>
    <w:rsid w:val="00F417C1"/>
    <w:rPr>
      <w:rFonts w:ascii="Times New Roman" w:hAnsi="Times New Roman" w:cs="Times New Roman"/>
      <w:sz w:val="24"/>
      <w:szCs w:val="24"/>
      <w:lang w:eastAsia="ru-RU"/>
    </w:rPr>
  </w:style>
  <w:style w:type="paragraph" w:styleId="Header">
    <w:name w:val="header"/>
    <w:basedOn w:val="Normal"/>
    <w:link w:val="HeaderChar"/>
    <w:uiPriority w:val="99"/>
    <w:semiHidden/>
    <w:rsid w:val="00F417C1"/>
    <w:pPr>
      <w:tabs>
        <w:tab w:val="center" w:pos="4819"/>
        <w:tab w:val="right" w:pos="9639"/>
      </w:tabs>
    </w:pPr>
  </w:style>
  <w:style w:type="character" w:customStyle="1" w:styleId="HeaderChar">
    <w:name w:val="Header Char"/>
    <w:basedOn w:val="DefaultParagraphFont"/>
    <w:link w:val="Header"/>
    <w:uiPriority w:val="99"/>
    <w:semiHidden/>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character" w:styleId="Hyperlink">
    <w:name w:val="Hyperlink"/>
    <w:basedOn w:val="DefaultParagraphFont"/>
    <w:uiPriority w:val="99"/>
    <w:rsid w:val="00DA790E"/>
    <w:rPr>
      <w:rFonts w:cs="Times New Roman"/>
      <w:color w:val="0000FF"/>
      <w:u w:val="single"/>
    </w:r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
    <w:link w:val="ListParagraph"/>
    <w:uiPriority w:val="99"/>
    <w:locked/>
    <w:rsid w:val="00C4126E"/>
    <w:rPr>
      <w:rFonts w:ascii="Times New Roman" w:hAnsi="Times New Roman"/>
      <w:sz w:val="24"/>
      <w:lang w:eastAsia="ru-RU"/>
    </w:rPr>
  </w:style>
  <w:style w:type="paragraph" w:styleId="BalloonText">
    <w:name w:val="Balloon Text"/>
    <w:basedOn w:val="Normal"/>
    <w:link w:val="BalloonTextChar"/>
    <w:uiPriority w:val="99"/>
    <w:semiHidden/>
    <w:rsid w:val="003A1F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F7F"/>
    <w:rPr>
      <w:rFonts w:ascii="Tahoma" w:hAnsi="Tahoma" w:cs="Tahoma"/>
      <w:sz w:val="16"/>
      <w:szCs w:val="16"/>
      <w:lang w:eastAsia="ru-RU"/>
    </w:rPr>
  </w:style>
  <w:style w:type="character" w:styleId="FollowedHyperlink">
    <w:name w:val="FollowedHyperlink"/>
    <w:basedOn w:val="DefaultParagraphFont"/>
    <w:uiPriority w:val="99"/>
    <w:semiHidden/>
    <w:rsid w:val="00940080"/>
    <w:rPr>
      <w:rFonts w:cs="Times New Roman"/>
      <w:color w:val="800080"/>
      <w:u w:val="single"/>
    </w:rPr>
  </w:style>
  <w:style w:type="character" w:styleId="IntenseEmphasis">
    <w:name w:val="Intense Emphasis"/>
    <w:basedOn w:val="DefaultParagraphFont"/>
    <w:uiPriority w:val="99"/>
    <w:qFormat/>
    <w:rsid w:val="00D41466"/>
    <w:rPr>
      <w:rFonts w:cs="Times New Roman"/>
      <w:b/>
      <w:bCs/>
      <w:i/>
      <w:iCs/>
      <w:color w:val="4F81BD"/>
    </w:rPr>
  </w:style>
  <w:style w:type="paragraph" w:customStyle="1" w:styleId="a2">
    <w:name w:val="ТЕКСТ основний"/>
    <w:basedOn w:val="Normal"/>
    <w:uiPriority w:val="99"/>
    <w:rsid w:val="00E9589C"/>
    <w:pPr>
      <w:spacing w:before="120" w:after="120"/>
      <w:ind w:firstLine="709"/>
      <w:jc w:val="both"/>
    </w:pPr>
    <w:rPr>
      <w:lang w:val="ru-RU"/>
    </w:rPr>
  </w:style>
  <w:style w:type="character" w:styleId="CommentReference">
    <w:name w:val="annotation reference"/>
    <w:basedOn w:val="DefaultParagraphFont"/>
    <w:uiPriority w:val="99"/>
    <w:semiHidden/>
    <w:rsid w:val="002C1F83"/>
    <w:rPr>
      <w:rFonts w:cs="Times New Roman"/>
      <w:sz w:val="16"/>
      <w:szCs w:val="16"/>
    </w:rPr>
  </w:style>
  <w:style w:type="paragraph" w:styleId="CommentText">
    <w:name w:val="annotation text"/>
    <w:basedOn w:val="Normal"/>
    <w:link w:val="CommentTextChar"/>
    <w:uiPriority w:val="99"/>
    <w:semiHidden/>
    <w:rsid w:val="002C1F83"/>
    <w:rPr>
      <w:sz w:val="20"/>
      <w:szCs w:val="20"/>
    </w:rPr>
  </w:style>
  <w:style w:type="character" w:customStyle="1" w:styleId="CommentTextChar">
    <w:name w:val="Comment Text Char"/>
    <w:basedOn w:val="DefaultParagraphFont"/>
    <w:link w:val="CommentText"/>
    <w:uiPriority w:val="99"/>
    <w:semiHidden/>
    <w:locked/>
    <w:rsid w:val="002C1F83"/>
    <w:rPr>
      <w:rFonts w:ascii="Times New Roman" w:hAnsi="Times New Roman" w:cs="Times New Roman"/>
      <w:lang w:eastAsia="ru-RU"/>
    </w:rPr>
  </w:style>
  <w:style w:type="paragraph" w:styleId="CommentSubject">
    <w:name w:val="annotation subject"/>
    <w:basedOn w:val="CommentText"/>
    <w:next w:val="CommentText"/>
    <w:link w:val="CommentSubjectChar"/>
    <w:uiPriority w:val="99"/>
    <w:semiHidden/>
    <w:rsid w:val="002C1F83"/>
    <w:rPr>
      <w:b/>
      <w:bCs/>
    </w:rPr>
  </w:style>
  <w:style w:type="character" w:customStyle="1" w:styleId="CommentSubjectChar">
    <w:name w:val="Comment Subject Char"/>
    <w:basedOn w:val="CommentTextChar"/>
    <w:link w:val="CommentSubject"/>
    <w:uiPriority w:val="99"/>
    <w:semiHidden/>
    <w:locked/>
    <w:rsid w:val="002C1F83"/>
    <w:rPr>
      <w:b/>
      <w:bCs/>
    </w:rPr>
  </w:style>
  <w:style w:type="character" w:customStyle="1" w:styleId="UnresolvedMention">
    <w:name w:val="Unresolved Mention"/>
    <w:basedOn w:val="DefaultParagraphFont"/>
    <w:uiPriority w:val="99"/>
    <w:semiHidden/>
    <w:rsid w:val="00D2017D"/>
    <w:rPr>
      <w:rFonts w:cs="Times New Roman"/>
      <w:color w:val="605E5C"/>
      <w:shd w:val="clear" w:color="auto" w:fill="E1DFDD"/>
    </w:rPr>
  </w:style>
  <w:style w:type="paragraph" w:styleId="NormalWeb">
    <w:name w:val="Normal (Web)"/>
    <w:basedOn w:val="Normal"/>
    <w:uiPriority w:val="99"/>
    <w:rsid w:val="00CB27D7"/>
    <w:pPr>
      <w:spacing w:before="100" w:beforeAutospacing="1" w:after="100" w:afterAutospacing="1"/>
    </w:pPr>
    <w:rPr>
      <w:lang w:eastAsia="uk-UA"/>
    </w:rPr>
  </w:style>
  <w:style w:type="table" w:styleId="TableGrid">
    <w:name w:val="Table Grid"/>
    <w:basedOn w:val="TableNormal"/>
    <w:uiPriority w:val="99"/>
    <w:rsid w:val="00124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256879">
      <w:marLeft w:val="0"/>
      <w:marRight w:val="0"/>
      <w:marTop w:val="0"/>
      <w:marBottom w:val="0"/>
      <w:divBdr>
        <w:top w:val="none" w:sz="0" w:space="0" w:color="auto"/>
        <w:left w:val="none" w:sz="0" w:space="0" w:color="auto"/>
        <w:bottom w:val="none" w:sz="0" w:space="0" w:color="auto"/>
        <w:right w:val="none" w:sz="0" w:space="0" w:color="auto"/>
      </w:divBdr>
      <w:divsChild>
        <w:div w:id="1261256884">
          <w:marLeft w:val="-108"/>
          <w:marRight w:val="0"/>
          <w:marTop w:val="0"/>
          <w:marBottom w:val="0"/>
          <w:divBdr>
            <w:top w:val="none" w:sz="0" w:space="0" w:color="auto"/>
            <w:left w:val="none" w:sz="0" w:space="0" w:color="auto"/>
            <w:bottom w:val="none" w:sz="0" w:space="0" w:color="auto"/>
            <w:right w:val="none" w:sz="0" w:space="0" w:color="auto"/>
          </w:divBdr>
        </w:div>
      </w:divsChild>
    </w:div>
    <w:div w:id="1261256880">
      <w:marLeft w:val="0"/>
      <w:marRight w:val="0"/>
      <w:marTop w:val="0"/>
      <w:marBottom w:val="0"/>
      <w:divBdr>
        <w:top w:val="none" w:sz="0" w:space="0" w:color="auto"/>
        <w:left w:val="none" w:sz="0" w:space="0" w:color="auto"/>
        <w:bottom w:val="none" w:sz="0" w:space="0" w:color="auto"/>
        <w:right w:val="none" w:sz="0" w:space="0" w:color="auto"/>
      </w:divBdr>
    </w:div>
    <w:div w:id="1261256881">
      <w:marLeft w:val="0"/>
      <w:marRight w:val="0"/>
      <w:marTop w:val="0"/>
      <w:marBottom w:val="0"/>
      <w:divBdr>
        <w:top w:val="none" w:sz="0" w:space="0" w:color="auto"/>
        <w:left w:val="none" w:sz="0" w:space="0" w:color="auto"/>
        <w:bottom w:val="none" w:sz="0" w:space="0" w:color="auto"/>
        <w:right w:val="none" w:sz="0" w:space="0" w:color="auto"/>
      </w:divBdr>
    </w:div>
    <w:div w:id="1261256882">
      <w:marLeft w:val="0"/>
      <w:marRight w:val="0"/>
      <w:marTop w:val="0"/>
      <w:marBottom w:val="0"/>
      <w:divBdr>
        <w:top w:val="none" w:sz="0" w:space="0" w:color="auto"/>
        <w:left w:val="none" w:sz="0" w:space="0" w:color="auto"/>
        <w:bottom w:val="none" w:sz="0" w:space="0" w:color="auto"/>
        <w:right w:val="none" w:sz="0" w:space="0" w:color="auto"/>
      </w:divBdr>
    </w:div>
    <w:div w:id="1261256885">
      <w:marLeft w:val="0"/>
      <w:marRight w:val="0"/>
      <w:marTop w:val="0"/>
      <w:marBottom w:val="0"/>
      <w:divBdr>
        <w:top w:val="none" w:sz="0" w:space="0" w:color="auto"/>
        <w:left w:val="none" w:sz="0" w:space="0" w:color="auto"/>
        <w:bottom w:val="none" w:sz="0" w:space="0" w:color="auto"/>
        <w:right w:val="none" w:sz="0" w:space="0" w:color="auto"/>
      </w:divBdr>
    </w:div>
    <w:div w:id="1261256886">
      <w:marLeft w:val="0"/>
      <w:marRight w:val="0"/>
      <w:marTop w:val="0"/>
      <w:marBottom w:val="0"/>
      <w:divBdr>
        <w:top w:val="none" w:sz="0" w:space="0" w:color="auto"/>
        <w:left w:val="none" w:sz="0" w:space="0" w:color="auto"/>
        <w:bottom w:val="none" w:sz="0" w:space="0" w:color="auto"/>
        <w:right w:val="none" w:sz="0" w:space="0" w:color="auto"/>
      </w:divBdr>
      <w:divsChild>
        <w:div w:id="1261256913">
          <w:marLeft w:val="-108"/>
          <w:marRight w:val="0"/>
          <w:marTop w:val="0"/>
          <w:marBottom w:val="0"/>
          <w:divBdr>
            <w:top w:val="none" w:sz="0" w:space="0" w:color="auto"/>
            <w:left w:val="none" w:sz="0" w:space="0" w:color="auto"/>
            <w:bottom w:val="none" w:sz="0" w:space="0" w:color="auto"/>
            <w:right w:val="none" w:sz="0" w:space="0" w:color="auto"/>
          </w:divBdr>
        </w:div>
      </w:divsChild>
    </w:div>
    <w:div w:id="1261256887">
      <w:marLeft w:val="0"/>
      <w:marRight w:val="0"/>
      <w:marTop w:val="0"/>
      <w:marBottom w:val="0"/>
      <w:divBdr>
        <w:top w:val="none" w:sz="0" w:space="0" w:color="auto"/>
        <w:left w:val="none" w:sz="0" w:space="0" w:color="auto"/>
        <w:bottom w:val="none" w:sz="0" w:space="0" w:color="auto"/>
        <w:right w:val="none" w:sz="0" w:space="0" w:color="auto"/>
      </w:divBdr>
    </w:div>
    <w:div w:id="1261256888">
      <w:marLeft w:val="0"/>
      <w:marRight w:val="0"/>
      <w:marTop w:val="0"/>
      <w:marBottom w:val="0"/>
      <w:divBdr>
        <w:top w:val="none" w:sz="0" w:space="0" w:color="auto"/>
        <w:left w:val="none" w:sz="0" w:space="0" w:color="auto"/>
        <w:bottom w:val="none" w:sz="0" w:space="0" w:color="auto"/>
        <w:right w:val="none" w:sz="0" w:space="0" w:color="auto"/>
      </w:divBdr>
    </w:div>
    <w:div w:id="1261256889">
      <w:marLeft w:val="0"/>
      <w:marRight w:val="0"/>
      <w:marTop w:val="0"/>
      <w:marBottom w:val="0"/>
      <w:divBdr>
        <w:top w:val="none" w:sz="0" w:space="0" w:color="auto"/>
        <w:left w:val="none" w:sz="0" w:space="0" w:color="auto"/>
        <w:bottom w:val="none" w:sz="0" w:space="0" w:color="auto"/>
        <w:right w:val="none" w:sz="0" w:space="0" w:color="auto"/>
      </w:divBdr>
    </w:div>
    <w:div w:id="1261256890">
      <w:marLeft w:val="0"/>
      <w:marRight w:val="0"/>
      <w:marTop w:val="0"/>
      <w:marBottom w:val="0"/>
      <w:divBdr>
        <w:top w:val="none" w:sz="0" w:space="0" w:color="auto"/>
        <w:left w:val="none" w:sz="0" w:space="0" w:color="auto"/>
        <w:bottom w:val="none" w:sz="0" w:space="0" w:color="auto"/>
        <w:right w:val="none" w:sz="0" w:space="0" w:color="auto"/>
      </w:divBdr>
      <w:divsChild>
        <w:div w:id="1261256883">
          <w:marLeft w:val="-108"/>
          <w:marRight w:val="0"/>
          <w:marTop w:val="0"/>
          <w:marBottom w:val="0"/>
          <w:divBdr>
            <w:top w:val="none" w:sz="0" w:space="0" w:color="auto"/>
            <w:left w:val="none" w:sz="0" w:space="0" w:color="auto"/>
            <w:bottom w:val="none" w:sz="0" w:space="0" w:color="auto"/>
            <w:right w:val="none" w:sz="0" w:space="0" w:color="auto"/>
          </w:divBdr>
        </w:div>
      </w:divsChild>
    </w:div>
    <w:div w:id="1261256891">
      <w:marLeft w:val="0"/>
      <w:marRight w:val="0"/>
      <w:marTop w:val="0"/>
      <w:marBottom w:val="0"/>
      <w:divBdr>
        <w:top w:val="none" w:sz="0" w:space="0" w:color="auto"/>
        <w:left w:val="none" w:sz="0" w:space="0" w:color="auto"/>
        <w:bottom w:val="none" w:sz="0" w:space="0" w:color="auto"/>
        <w:right w:val="none" w:sz="0" w:space="0" w:color="auto"/>
      </w:divBdr>
    </w:div>
    <w:div w:id="1261256892">
      <w:marLeft w:val="0"/>
      <w:marRight w:val="0"/>
      <w:marTop w:val="0"/>
      <w:marBottom w:val="0"/>
      <w:divBdr>
        <w:top w:val="none" w:sz="0" w:space="0" w:color="auto"/>
        <w:left w:val="none" w:sz="0" w:space="0" w:color="auto"/>
        <w:bottom w:val="none" w:sz="0" w:space="0" w:color="auto"/>
        <w:right w:val="none" w:sz="0" w:space="0" w:color="auto"/>
      </w:divBdr>
    </w:div>
    <w:div w:id="1261256893">
      <w:marLeft w:val="0"/>
      <w:marRight w:val="0"/>
      <w:marTop w:val="0"/>
      <w:marBottom w:val="0"/>
      <w:divBdr>
        <w:top w:val="none" w:sz="0" w:space="0" w:color="auto"/>
        <w:left w:val="none" w:sz="0" w:space="0" w:color="auto"/>
        <w:bottom w:val="none" w:sz="0" w:space="0" w:color="auto"/>
        <w:right w:val="none" w:sz="0" w:space="0" w:color="auto"/>
      </w:divBdr>
    </w:div>
    <w:div w:id="1261256894">
      <w:marLeft w:val="0"/>
      <w:marRight w:val="0"/>
      <w:marTop w:val="0"/>
      <w:marBottom w:val="0"/>
      <w:divBdr>
        <w:top w:val="none" w:sz="0" w:space="0" w:color="auto"/>
        <w:left w:val="none" w:sz="0" w:space="0" w:color="auto"/>
        <w:bottom w:val="none" w:sz="0" w:space="0" w:color="auto"/>
        <w:right w:val="none" w:sz="0" w:space="0" w:color="auto"/>
      </w:divBdr>
    </w:div>
    <w:div w:id="1261256895">
      <w:marLeft w:val="0"/>
      <w:marRight w:val="0"/>
      <w:marTop w:val="0"/>
      <w:marBottom w:val="0"/>
      <w:divBdr>
        <w:top w:val="none" w:sz="0" w:space="0" w:color="auto"/>
        <w:left w:val="none" w:sz="0" w:space="0" w:color="auto"/>
        <w:bottom w:val="none" w:sz="0" w:space="0" w:color="auto"/>
        <w:right w:val="none" w:sz="0" w:space="0" w:color="auto"/>
      </w:divBdr>
    </w:div>
    <w:div w:id="1261256896">
      <w:marLeft w:val="0"/>
      <w:marRight w:val="0"/>
      <w:marTop w:val="0"/>
      <w:marBottom w:val="0"/>
      <w:divBdr>
        <w:top w:val="none" w:sz="0" w:space="0" w:color="auto"/>
        <w:left w:val="none" w:sz="0" w:space="0" w:color="auto"/>
        <w:bottom w:val="none" w:sz="0" w:space="0" w:color="auto"/>
        <w:right w:val="none" w:sz="0" w:space="0" w:color="auto"/>
      </w:divBdr>
    </w:div>
    <w:div w:id="1261256897">
      <w:marLeft w:val="0"/>
      <w:marRight w:val="0"/>
      <w:marTop w:val="0"/>
      <w:marBottom w:val="0"/>
      <w:divBdr>
        <w:top w:val="none" w:sz="0" w:space="0" w:color="auto"/>
        <w:left w:val="none" w:sz="0" w:space="0" w:color="auto"/>
        <w:bottom w:val="none" w:sz="0" w:space="0" w:color="auto"/>
        <w:right w:val="none" w:sz="0" w:space="0" w:color="auto"/>
      </w:divBdr>
    </w:div>
    <w:div w:id="1261256898">
      <w:marLeft w:val="0"/>
      <w:marRight w:val="0"/>
      <w:marTop w:val="0"/>
      <w:marBottom w:val="0"/>
      <w:divBdr>
        <w:top w:val="none" w:sz="0" w:space="0" w:color="auto"/>
        <w:left w:val="none" w:sz="0" w:space="0" w:color="auto"/>
        <w:bottom w:val="none" w:sz="0" w:space="0" w:color="auto"/>
        <w:right w:val="none" w:sz="0" w:space="0" w:color="auto"/>
      </w:divBdr>
    </w:div>
    <w:div w:id="1261256899">
      <w:marLeft w:val="0"/>
      <w:marRight w:val="0"/>
      <w:marTop w:val="0"/>
      <w:marBottom w:val="0"/>
      <w:divBdr>
        <w:top w:val="none" w:sz="0" w:space="0" w:color="auto"/>
        <w:left w:val="none" w:sz="0" w:space="0" w:color="auto"/>
        <w:bottom w:val="none" w:sz="0" w:space="0" w:color="auto"/>
        <w:right w:val="none" w:sz="0" w:space="0" w:color="auto"/>
      </w:divBdr>
    </w:div>
    <w:div w:id="1261256900">
      <w:marLeft w:val="0"/>
      <w:marRight w:val="0"/>
      <w:marTop w:val="0"/>
      <w:marBottom w:val="0"/>
      <w:divBdr>
        <w:top w:val="none" w:sz="0" w:space="0" w:color="auto"/>
        <w:left w:val="none" w:sz="0" w:space="0" w:color="auto"/>
        <w:bottom w:val="none" w:sz="0" w:space="0" w:color="auto"/>
        <w:right w:val="none" w:sz="0" w:space="0" w:color="auto"/>
      </w:divBdr>
    </w:div>
    <w:div w:id="1261256901">
      <w:marLeft w:val="0"/>
      <w:marRight w:val="0"/>
      <w:marTop w:val="0"/>
      <w:marBottom w:val="0"/>
      <w:divBdr>
        <w:top w:val="none" w:sz="0" w:space="0" w:color="auto"/>
        <w:left w:val="none" w:sz="0" w:space="0" w:color="auto"/>
        <w:bottom w:val="none" w:sz="0" w:space="0" w:color="auto"/>
        <w:right w:val="none" w:sz="0" w:space="0" w:color="auto"/>
      </w:divBdr>
    </w:div>
    <w:div w:id="1261256902">
      <w:marLeft w:val="0"/>
      <w:marRight w:val="0"/>
      <w:marTop w:val="0"/>
      <w:marBottom w:val="0"/>
      <w:divBdr>
        <w:top w:val="none" w:sz="0" w:space="0" w:color="auto"/>
        <w:left w:val="none" w:sz="0" w:space="0" w:color="auto"/>
        <w:bottom w:val="none" w:sz="0" w:space="0" w:color="auto"/>
        <w:right w:val="none" w:sz="0" w:space="0" w:color="auto"/>
      </w:divBdr>
    </w:div>
    <w:div w:id="1261256903">
      <w:marLeft w:val="0"/>
      <w:marRight w:val="0"/>
      <w:marTop w:val="0"/>
      <w:marBottom w:val="0"/>
      <w:divBdr>
        <w:top w:val="none" w:sz="0" w:space="0" w:color="auto"/>
        <w:left w:val="none" w:sz="0" w:space="0" w:color="auto"/>
        <w:bottom w:val="none" w:sz="0" w:space="0" w:color="auto"/>
        <w:right w:val="none" w:sz="0" w:space="0" w:color="auto"/>
      </w:divBdr>
    </w:div>
    <w:div w:id="1261256904">
      <w:marLeft w:val="0"/>
      <w:marRight w:val="0"/>
      <w:marTop w:val="0"/>
      <w:marBottom w:val="0"/>
      <w:divBdr>
        <w:top w:val="none" w:sz="0" w:space="0" w:color="auto"/>
        <w:left w:val="none" w:sz="0" w:space="0" w:color="auto"/>
        <w:bottom w:val="none" w:sz="0" w:space="0" w:color="auto"/>
        <w:right w:val="none" w:sz="0" w:space="0" w:color="auto"/>
      </w:divBdr>
    </w:div>
    <w:div w:id="1261256905">
      <w:marLeft w:val="0"/>
      <w:marRight w:val="0"/>
      <w:marTop w:val="0"/>
      <w:marBottom w:val="0"/>
      <w:divBdr>
        <w:top w:val="none" w:sz="0" w:space="0" w:color="auto"/>
        <w:left w:val="none" w:sz="0" w:space="0" w:color="auto"/>
        <w:bottom w:val="none" w:sz="0" w:space="0" w:color="auto"/>
        <w:right w:val="none" w:sz="0" w:space="0" w:color="auto"/>
      </w:divBdr>
    </w:div>
    <w:div w:id="1261256906">
      <w:marLeft w:val="0"/>
      <w:marRight w:val="0"/>
      <w:marTop w:val="0"/>
      <w:marBottom w:val="0"/>
      <w:divBdr>
        <w:top w:val="none" w:sz="0" w:space="0" w:color="auto"/>
        <w:left w:val="none" w:sz="0" w:space="0" w:color="auto"/>
        <w:bottom w:val="none" w:sz="0" w:space="0" w:color="auto"/>
        <w:right w:val="none" w:sz="0" w:space="0" w:color="auto"/>
      </w:divBdr>
      <w:divsChild>
        <w:div w:id="1261256926">
          <w:marLeft w:val="-108"/>
          <w:marRight w:val="0"/>
          <w:marTop w:val="0"/>
          <w:marBottom w:val="0"/>
          <w:divBdr>
            <w:top w:val="none" w:sz="0" w:space="0" w:color="auto"/>
            <w:left w:val="none" w:sz="0" w:space="0" w:color="auto"/>
            <w:bottom w:val="none" w:sz="0" w:space="0" w:color="auto"/>
            <w:right w:val="none" w:sz="0" w:space="0" w:color="auto"/>
          </w:divBdr>
        </w:div>
      </w:divsChild>
    </w:div>
    <w:div w:id="1261256907">
      <w:marLeft w:val="0"/>
      <w:marRight w:val="0"/>
      <w:marTop w:val="0"/>
      <w:marBottom w:val="0"/>
      <w:divBdr>
        <w:top w:val="none" w:sz="0" w:space="0" w:color="auto"/>
        <w:left w:val="none" w:sz="0" w:space="0" w:color="auto"/>
        <w:bottom w:val="none" w:sz="0" w:space="0" w:color="auto"/>
        <w:right w:val="none" w:sz="0" w:space="0" w:color="auto"/>
      </w:divBdr>
    </w:div>
    <w:div w:id="1261256908">
      <w:marLeft w:val="0"/>
      <w:marRight w:val="0"/>
      <w:marTop w:val="0"/>
      <w:marBottom w:val="0"/>
      <w:divBdr>
        <w:top w:val="none" w:sz="0" w:space="0" w:color="auto"/>
        <w:left w:val="none" w:sz="0" w:space="0" w:color="auto"/>
        <w:bottom w:val="none" w:sz="0" w:space="0" w:color="auto"/>
        <w:right w:val="none" w:sz="0" w:space="0" w:color="auto"/>
      </w:divBdr>
    </w:div>
    <w:div w:id="1261256909">
      <w:marLeft w:val="0"/>
      <w:marRight w:val="0"/>
      <w:marTop w:val="0"/>
      <w:marBottom w:val="0"/>
      <w:divBdr>
        <w:top w:val="none" w:sz="0" w:space="0" w:color="auto"/>
        <w:left w:val="none" w:sz="0" w:space="0" w:color="auto"/>
        <w:bottom w:val="none" w:sz="0" w:space="0" w:color="auto"/>
        <w:right w:val="none" w:sz="0" w:space="0" w:color="auto"/>
      </w:divBdr>
    </w:div>
    <w:div w:id="1261256910">
      <w:marLeft w:val="0"/>
      <w:marRight w:val="0"/>
      <w:marTop w:val="0"/>
      <w:marBottom w:val="0"/>
      <w:divBdr>
        <w:top w:val="none" w:sz="0" w:space="0" w:color="auto"/>
        <w:left w:val="none" w:sz="0" w:space="0" w:color="auto"/>
        <w:bottom w:val="none" w:sz="0" w:space="0" w:color="auto"/>
        <w:right w:val="none" w:sz="0" w:space="0" w:color="auto"/>
      </w:divBdr>
    </w:div>
    <w:div w:id="1261256911">
      <w:marLeft w:val="0"/>
      <w:marRight w:val="0"/>
      <w:marTop w:val="0"/>
      <w:marBottom w:val="0"/>
      <w:divBdr>
        <w:top w:val="none" w:sz="0" w:space="0" w:color="auto"/>
        <w:left w:val="none" w:sz="0" w:space="0" w:color="auto"/>
        <w:bottom w:val="none" w:sz="0" w:space="0" w:color="auto"/>
        <w:right w:val="none" w:sz="0" w:space="0" w:color="auto"/>
      </w:divBdr>
    </w:div>
    <w:div w:id="1261256912">
      <w:marLeft w:val="0"/>
      <w:marRight w:val="0"/>
      <w:marTop w:val="0"/>
      <w:marBottom w:val="0"/>
      <w:divBdr>
        <w:top w:val="none" w:sz="0" w:space="0" w:color="auto"/>
        <w:left w:val="none" w:sz="0" w:space="0" w:color="auto"/>
        <w:bottom w:val="none" w:sz="0" w:space="0" w:color="auto"/>
        <w:right w:val="none" w:sz="0" w:space="0" w:color="auto"/>
      </w:divBdr>
    </w:div>
    <w:div w:id="1261256914">
      <w:marLeft w:val="0"/>
      <w:marRight w:val="0"/>
      <w:marTop w:val="0"/>
      <w:marBottom w:val="0"/>
      <w:divBdr>
        <w:top w:val="none" w:sz="0" w:space="0" w:color="auto"/>
        <w:left w:val="none" w:sz="0" w:space="0" w:color="auto"/>
        <w:bottom w:val="none" w:sz="0" w:space="0" w:color="auto"/>
        <w:right w:val="none" w:sz="0" w:space="0" w:color="auto"/>
      </w:divBdr>
    </w:div>
    <w:div w:id="1261256915">
      <w:marLeft w:val="0"/>
      <w:marRight w:val="0"/>
      <w:marTop w:val="0"/>
      <w:marBottom w:val="0"/>
      <w:divBdr>
        <w:top w:val="none" w:sz="0" w:space="0" w:color="auto"/>
        <w:left w:val="none" w:sz="0" w:space="0" w:color="auto"/>
        <w:bottom w:val="none" w:sz="0" w:space="0" w:color="auto"/>
        <w:right w:val="none" w:sz="0" w:space="0" w:color="auto"/>
      </w:divBdr>
    </w:div>
    <w:div w:id="1261256916">
      <w:marLeft w:val="0"/>
      <w:marRight w:val="0"/>
      <w:marTop w:val="0"/>
      <w:marBottom w:val="0"/>
      <w:divBdr>
        <w:top w:val="none" w:sz="0" w:space="0" w:color="auto"/>
        <w:left w:val="none" w:sz="0" w:space="0" w:color="auto"/>
        <w:bottom w:val="none" w:sz="0" w:space="0" w:color="auto"/>
        <w:right w:val="none" w:sz="0" w:space="0" w:color="auto"/>
      </w:divBdr>
    </w:div>
    <w:div w:id="1261256917">
      <w:marLeft w:val="0"/>
      <w:marRight w:val="0"/>
      <w:marTop w:val="0"/>
      <w:marBottom w:val="0"/>
      <w:divBdr>
        <w:top w:val="none" w:sz="0" w:space="0" w:color="auto"/>
        <w:left w:val="none" w:sz="0" w:space="0" w:color="auto"/>
        <w:bottom w:val="none" w:sz="0" w:space="0" w:color="auto"/>
        <w:right w:val="none" w:sz="0" w:space="0" w:color="auto"/>
      </w:divBdr>
    </w:div>
    <w:div w:id="1261256918">
      <w:marLeft w:val="0"/>
      <w:marRight w:val="0"/>
      <w:marTop w:val="0"/>
      <w:marBottom w:val="0"/>
      <w:divBdr>
        <w:top w:val="none" w:sz="0" w:space="0" w:color="auto"/>
        <w:left w:val="none" w:sz="0" w:space="0" w:color="auto"/>
        <w:bottom w:val="none" w:sz="0" w:space="0" w:color="auto"/>
        <w:right w:val="none" w:sz="0" w:space="0" w:color="auto"/>
      </w:divBdr>
    </w:div>
    <w:div w:id="1261256919">
      <w:marLeft w:val="0"/>
      <w:marRight w:val="0"/>
      <w:marTop w:val="0"/>
      <w:marBottom w:val="0"/>
      <w:divBdr>
        <w:top w:val="none" w:sz="0" w:space="0" w:color="auto"/>
        <w:left w:val="none" w:sz="0" w:space="0" w:color="auto"/>
        <w:bottom w:val="none" w:sz="0" w:space="0" w:color="auto"/>
        <w:right w:val="none" w:sz="0" w:space="0" w:color="auto"/>
      </w:divBdr>
    </w:div>
    <w:div w:id="1261256920">
      <w:marLeft w:val="0"/>
      <w:marRight w:val="0"/>
      <w:marTop w:val="0"/>
      <w:marBottom w:val="0"/>
      <w:divBdr>
        <w:top w:val="none" w:sz="0" w:space="0" w:color="auto"/>
        <w:left w:val="none" w:sz="0" w:space="0" w:color="auto"/>
        <w:bottom w:val="none" w:sz="0" w:space="0" w:color="auto"/>
        <w:right w:val="none" w:sz="0" w:space="0" w:color="auto"/>
      </w:divBdr>
    </w:div>
    <w:div w:id="1261256921">
      <w:marLeft w:val="0"/>
      <w:marRight w:val="0"/>
      <w:marTop w:val="0"/>
      <w:marBottom w:val="0"/>
      <w:divBdr>
        <w:top w:val="none" w:sz="0" w:space="0" w:color="auto"/>
        <w:left w:val="none" w:sz="0" w:space="0" w:color="auto"/>
        <w:bottom w:val="none" w:sz="0" w:space="0" w:color="auto"/>
        <w:right w:val="none" w:sz="0" w:space="0" w:color="auto"/>
      </w:divBdr>
    </w:div>
    <w:div w:id="1261256922">
      <w:marLeft w:val="0"/>
      <w:marRight w:val="0"/>
      <w:marTop w:val="0"/>
      <w:marBottom w:val="0"/>
      <w:divBdr>
        <w:top w:val="none" w:sz="0" w:space="0" w:color="auto"/>
        <w:left w:val="none" w:sz="0" w:space="0" w:color="auto"/>
        <w:bottom w:val="none" w:sz="0" w:space="0" w:color="auto"/>
        <w:right w:val="none" w:sz="0" w:space="0" w:color="auto"/>
      </w:divBdr>
    </w:div>
    <w:div w:id="1261256923">
      <w:marLeft w:val="0"/>
      <w:marRight w:val="0"/>
      <w:marTop w:val="0"/>
      <w:marBottom w:val="0"/>
      <w:divBdr>
        <w:top w:val="none" w:sz="0" w:space="0" w:color="auto"/>
        <w:left w:val="none" w:sz="0" w:space="0" w:color="auto"/>
        <w:bottom w:val="none" w:sz="0" w:space="0" w:color="auto"/>
        <w:right w:val="none" w:sz="0" w:space="0" w:color="auto"/>
      </w:divBdr>
    </w:div>
    <w:div w:id="1261256924">
      <w:marLeft w:val="0"/>
      <w:marRight w:val="0"/>
      <w:marTop w:val="0"/>
      <w:marBottom w:val="0"/>
      <w:divBdr>
        <w:top w:val="none" w:sz="0" w:space="0" w:color="auto"/>
        <w:left w:val="none" w:sz="0" w:space="0" w:color="auto"/>
        <w:bottom w:val="none" w:sz="0" w:space="0" w:color="auto"/>
        <w:right w:val="none" w:sz="0" w:space="0" w:color="auto"/>
      </w:divBdr>
    </w:div>
    <w:div w:id="1261256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_&#1064;&#1040;&#1041;&#1051;&#1054;&#1053;&#1080;\_&#1047;&#1040;&#1052;&#1054;&#1042;&#1053;&#1048;&#1050;\_&#1055;&#1088;&#1086;&#1094;&#1077;&#1076;&#1091;&#1088;&#1072;%20%23&#1042;&#1058;\10-&#1058;&#1044;-&#1055;&#1086;&#1095;&#1072;&#1090;&#1086;&#1082;%20&#1079;&#1072;&#1082;&#1091;&#1087;&#1110;&#1074;&#1083;&#1110;\&#1058;&#1044;%20&#1055;&#1056;&#1045;&#1044;&#1052;&#1045;&#10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ТД ПРЕДМЕТ.dotx</Template>
  <TotalTime>10</TotalTime>
  <Pages>19</Pages>
  <Words>7281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4</cp:revision>
  <dcterms:created xsi:type="dcterms:W3CDTF">2022-02-15T13:55:00Z</dcterms:created>
  <dcterms:modified xsi:type="dcterms:W3CDTF">2023-01-25T13:44:00Z</dcterms:modified>
</cp:coreProperties>
</file>