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8" w:rsidRDefault="0038444B">
      <w:pPr>
        <w:suppressAutoHyphens/>
        <w:spacing w:after="0" w:line="240" w:lineRule="auto"/>
        <w:ind w:left="566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документації</w:t>
      </w:r>
      <w:proofErr w:type="spellEnd"/>
    </w:p>
    <w:p w:rsidR="00CB7A18" w:rsidRDefault="00CB7A18">
      <w:pPr>
        <w:suppressAutoHyphens/>
        <w:spacing w:after="0" w:line="240" w:lineRule="auto"/>
        <w:ind w:left="56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7A18" w:rsidRDefault="00CB7A1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7A18" w:rsidRDefault="0038444B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16 Закону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</w:p>
    <w:p w:rsidR="00CB7A18" w:rsidRDefault="00CB7A18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247"/>
        <w:gridCol w:w="6639"/>
      </w:tblGrid>
      <w:tr w:rsidR="00CB7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CB7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 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телефону,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номер та дату договору,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предмету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(з 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______),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суму договору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суму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договором.</w:t>
            </w:r>
          </w:p>
          <w:p w:rsidR="00CB7A18" w:rsidRPr="0038444B" w:rsidRDefault="0038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Цибуля,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Морква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Буряк, Капуста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качанна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свіжі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Помідори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свіжі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Перець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Банани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Груші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Лимони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Апельсини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Мандарини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, </w:t>
            </w:r>
            <w:r w:rsidRPr="0038444B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Гарбуз, Капуста цвітна</w:t>
            </w:r>
            <w:bookmarkStart w:id="0" w:name="_GoBack"/>
            <w:bookmarkEnd w:id="0"/>
          </w:p>
          <w:p w:rsidR="00CB7A18" w:rsidRDefault="0038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(ДК 021:2015: 03220000-9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фрукти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горіхи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);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.1.2.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угодами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:rsidR="00CB7A18" w:rsidRDefault="0038444B">
            <w:pPr>
              <w:suppressAutoHyphens/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1.1.3.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</w:t>
            </w:r>
            <w:r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Prozorro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 1.1.1.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</w:t>
            </w:r>
            <w:r>
              <w:rPr>
                <w:rFonts w:ascii="Times New Roman" w:eastAsia="Times New Roman" w:hAnsi="Times New Roman" w:cs="Times New Roman"/>
              </w:rPr>
              <w:t>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Prozorro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1.1.2.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B7A18" w:rsidRDefault="0038444B">
      <w:pPr>
        <w:suppressAutoHyphens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CB7A18" w:rsidRDefault="0038444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</w:t>
      </w:r>
      <w:r>
        <w:rPr>
          <w:rFonts w:ascii="Times New Roman" w:eastAsia="Times New Roman" w:hAnsi="Times New Roman" w:cs="Times New Roman"/>
          <w:b/>
          <w:color w:val="000000"/>
        </w:rPr>
        <w:t>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УЧАСНИКА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</w:t>
      </w:r>
      <w:proofErr w:type="gramStart"/>
      <w:r>
        <w:rPr>
          <w:rFonts w:ascii="Times New Roman" w:eastAsia="Times New Roman" w:hAnsi="Times New Roman" w:cs="Times New Roman"/>
        </w:rPr>
        <w:t>вл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підпунктів</w:t>
      </w:r>
      <w:proofErr w:type="spellEnd"/>
      <w:r>
        <w:rPr>
          <w:rFonts w:ascii="Times New Roman" w:eastAsia="Times New Roman" w:hAnsi="Times New Roman" w:cs="Times New Roman"/>
        </w:rPr>
        <w:t xml:space="preserve"> 1 і 7, та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</w:t>
      </w:r>
      <w:r>
        <w:rPr>
          <w:rFonts w:ascii="Times New Roman" w:eastAsia="Times New Roman" w:hAnsi="Times New Roman" w:cs="Times New Roman"/>
        </w:rPr>
        <w:t>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</w:t>
      </w:r>
      <w:proofErr w:type="gramStart"/>
      <w:r>
        <w:rPr>
          <w:rFonts w:ascii="Times New Roman" w:eastAsia="Times New Roman" w:hAnsi="Times New Roman" w:cs="Times New Roman"/>
        </w:rPr>
        <w:t>вл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розгляду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</w:t>
      </w:r>
      <w:proofErr w:type="gramStart"/>
      <w:r>
        <w:rPr>
          <w:rFonts w:ascii="Times New Roman" w:eastAsia="Times New Roman" w:hAnsi="Times New Roman" w:cs="Times New Roman"/>
        </w:rPr>
        <w:t>вл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підпунктами</w:t>
      </w:r>
      <w:proofErr w:type="spellEnd"/>
      <w:r>
        <w:rPr>
          <w:rFonts w:ascii="Times New Roman" w:eastAsia="Times New Roman" w:hAnsi="Times New Roman" w:cs="Times New Roman"/>
        </w:rPr>
        <w:t xml:space="preserve"> 1 і 7 пункту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довільній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</w:rPr>
        <w:t>встановленої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</w:t>
      </w:r>
      <w:proofErr w:type="gramStart"/>
      <w:r>
        <w:rPr>
          <w:rFonts w:ascii="Times New Roman" w:eastAsia="Times New Roman" w:hAnsi="Times New Roman" w:cs="Times New Roman"/>
        </w:rPr>
        <w:t>вл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перебуває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обставинах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</w:t>
      </w:r>
      <w:r>
        <w:rPr>
          <w:rFonts w:ascii="Times New Roman" w:eastAsia="Times New Roman" w:hAnsi="Times New Roman" w:cs="Times New Roman"/>
        </w:rPr>
        <w:t>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надійності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незважаючи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суб’єкт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відмовлено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перевірити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gramStart"/>
      <w:r>
        <w:rPr>
          <w:rFonts w:ascii="Times New Roman" w:eastAsia="Times New Roman" w:hAnsi="Times New Roman" w:cs="Times New Roman"/>
        </w:rPr>
        <w:t>а-</w:t>
      </w:r>
      <w:proofErr w:type="gramEnd"/>
      <w:r>
        <w:rPr>
          <w:rFonts w:ascii="Times New Roman" w:eastAsia="Times New Roman" w:hAnsi="Times New Roman" w:cs="Times New Roman"/>
        </w:rPr>
        <w:t>Ініціатора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B7A18" w:rsidRDefault="00CB7A18">
      <w:pPr>
        <w:tabs>
          <w:tab w:val="left" w:pos="180"/>
        </w:tabs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CB7A18" w:rsidRDefault="003844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відмову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 та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відхилити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в разу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наявності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підстав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пунктом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Переможець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</w:t>
      </w:r>
      <w:r>
        <w:rPr>
          <w:rFonts w:ascii="Times New Roman" w:eastAsia="Times New Roman" w:hAnsi="Times New Roman" w:cs="Times New Roman"/>
        </w:rPr>
        <w:t>пі</w:t>
      </w:r>
      <w:proofErr w:type="gramStart"/>
      <w:r>
        <w:rPr>
          <w:rFonts w:ascii="Times New Roman" w:eastAsia="Times New Roman" w:hAnsi="Times New Roman" w:cs="Times New Roman"/>
        </w:rPr>
        <w:t>вл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підпунктах</w:t>
      </w:r>
      <w:proofErr w:type="spellEnd"/>
      <w:r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CB7A18" w:rsidRDefault="0038444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цією</w:t>
      </w:r>
      <w:proofErr w:type="spellEnd"/>
      <w:r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перебіг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певної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поді</w:t>
      </w:r>
      <w:r>
        <w:rPr>
          <w:rFonts w:ascii="Times New Roman" w:eastAsia="Times New Roman" w:hAnsi="Times New Roman" w:cs="Times New Roman"/>
        </w:rPr>
        <w:t>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наступний</w:t>
      </w:r>
      <w:proofErr w:type="spellEnd"/>
      <w:r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календарний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робочий</w:t>
      </w:r>
      <w:proofErr w:type="spellEnd"/>
      <w:r>
        <w:rPr>
          <w:rFonts w:ascii="Times New Roman" w:eastAsia="Times New Roman" w:hAnsi="Times New Roman" w:cs="Times New Roman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відповідний</w:t>
      </w:r>
      <w:proofErr w:type="spellEnd"/>
      <w:r>
        <w:rPr>
          <w:rFonts w:ascii="Times New Roman" w:eastAsia="Times New Roman" w:hAnsi="Times New Roman" w:cs="Times New Roman"/>
        </w:rPr>
        <w:t xml:space="preserve"> строк. </w:t>
      </w:r>
      <w:proofErr w:type="gramEnd"/>
    </w:p>
    <w:p w:rsidR="00CB7A18" w:rsidRDefault="00384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ПЕРЕМОЖЦЕМ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B7A18" w:rsidRDefault="00CB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762"/>
        <w:gridCol w:w="6116"/>
      </w:tblGrid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0"/>
              </w:rPr>
              <w:t>№</w:t>
            </w:r>
          </w:p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</w:tc>
      </w:tr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корупцією</w:t>
            </w:r>
            <w:proofErr w:type="spellEnd"/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3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 такому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особу, сформована в 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агентства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09.02.2018 </w:t>
            </w:r>
            <w:r>
              <w:rPr>
                <w:rFonts w:ascii="Segoe UI Symbol" w:eastAsia="Segoe UI Symbol" w:hAnsi="Segoe UI Symbol" w:cs="Segoe UI Symbol"/>
                <w:color w:val="000000"/>
                <w:position w:val="-1"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166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)</w:t>
            </w:r>
          </w:p>
          <w:p w:rsidR="00CB7A18" w:rsidRDefault="00CB7A18">
            <w:pPr>
              <w:suppressAutoHyphens/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8"/>
                <w:shd w:val="clear" w:color="auto" w:fill="FFFFFF"/>
              </w:rPr>
            </w:pP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.</w:t>
            </w:r>
          </w:p>
          <w:p w:rsidR="00CB7A18" w:rsidRDefault="00CB7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hd w:val="clear" w:color="auto" w:fill="FFFFFF"/>
              </w:rPr>
            </w:pPr>
          </w:p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довідок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hyperlink r:id="rId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</w:rPr>
                <w:t>https://corruptinfo.nazk.gov.ua/reference/getpersonalreference/individual</w:t>
              </w:r>
            </w:hyperlink>
          </w:p>
        </w:tc>
      </w:tr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дку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lastRenderedPageBreak/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(документ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фізичним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кримінально-процесуальним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. 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тридцятиден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lastRenderedPageBreak/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документа.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position w:val="-1"/>
                  <w:sz w:val="20"/>
                  <w:u w:val="single"/>
                  <w:shd w:val="clear" w:color="auto" w:fill="FFFFFF"/>
                </w:rPr>
                <w:t>https://vytiah.mvs.gov.ua/app/checkStatus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.</w:t>
            </w:r>
          </w:p>
          <w:p w:rsidR="00CB7A18" w:rsidRDefault="00CB7A18">
            <w:pPr>
              <w:suppressAutoHyphens/>
              <w:spacing w:after="0" w:line="240" w:lineRule="auto"/>
              <w:ind w:left="-1" w:hanging="1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8"/>
                <w:shd w:val="clear" w:color="auto" w:fill="FFFFFF"/>
              </w:rPr>
            </w:pPr>
          </w:p>
          <w:p w:rsidR="00CB7A18" w:rsidRDefault="0038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довідок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</w:p>
          <w:p w:rsidR="00CB7A18" w:rsidRDefault="0038444B">
            <w:pPr>
              <w:spacing w:after="0" w:line="240" w:lineRule="auto"/>
              <w:jc w:val="both"/>
            </w:pP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shd w:val="clear" w:color="auto" w:fill="FFFFFF"/>
                </w:rPr>
                <w:t>https://vytiah.mvs.gov.ua/app/landing</w:t>
              </w:r>
            </w:hyperlink>
          </w:p>
        </w:tc>
      </w:tr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дку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6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(документ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фізичним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особам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кримінально-процесуальним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0"/>
                <w:shd w:val="clear" w:color="auto" w:fill="FFFFFF"/>
              </w:rPr>
              <w:t xml:space="preserve"> документа.</w:t>
            </w:r>
          </w:p>
          <w:p w:rsidR="00CB7A18" w:rsidRDefault="0038444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ірити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МВС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position w:val="-1"/>
                  <w:sz w:val="20"/>
                  <w:u w:val="single"/>
                </w:rPr>
                <w:t>https://vytiah.mvs.gov.ua/app/checkStatus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</w:rPr>
              <w:t>.</w:t>
            </w:r>
          </w:p>
          <w:p w:rsidR="00CB7A18" w:rsidRDefault="003844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довідок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</w:rPr>
                <w:t>https://vytiah.mvs.gov.ua/app/landing</w:t>
              </w:r>
            </w:hyperlink>
          </w:p>
        </w:tc>
      </w:tr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людьми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12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(документ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фізичним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особам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кримінально-процесуальним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. 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документа.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-ЦЗО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position w:val="-1"/>
                  <w:sz w:val="20"/>
                  <w:u w:val="single"/>
                  <w:shd w:val="clear" w:color="auto" w:fill="FFFFFF"/>
                </w:rPr>
                <w:t>https://vytiah.mvs.gov.ua/app/checkStatus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.</w:t>
            </w:r>
          </w:p>
          <w:p w:rsidR="00CB7A18" w:rsidRDefault="003844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довідок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shd w:val="clear" w:color="auto" w:fill="FFFFFF"/>
                </w:rPr>
                <w:t>https://vytiah.mvs.gov.ua/app/landing</w:t>
              </w:r>
            </w:hyperlink>
          </w:p>
        </w:tc>
      </w:tr>
      <w:tr w:rsidR="00CB7A18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Замовником-ініціатором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господар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CB7A18" w:rsidRDefault="0038444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(абзац 14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укладеними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договорами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. 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. 14 п. 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нада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листа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штрафу/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штрафу/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-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оплату штрафу/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Замовника</w:t>
            </w:r>
            <w:proofErr w:type="spellEnd"/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</w:p>
          <w:p w:rsidR="00CB7A18" w:rsidRDefault="0038444B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-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збиткі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hd w:val="clear" w:color="auto" w:fill="FFFFFF"/>
              </w:rPr>
              <w:t>.</w:t>
            </w:r>
          </w:p>
        </w:tc>
      </w:tr>
    </w:tbl>
    <w:p w:rsidR="00CB7A18" w:rsidRDefault="00CB7A18">
      <w:pPr>
        <w:spacing w:before="100" w:after="10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CB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A18"/>
    <w:rsid w:val="0038444B"/>
    <w:rsid w:val="00C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checkStatus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hyperlink" Target="https://vytiah.mvs.gov.ua/app/checkSta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2024-01-02T14:26:00Z</dcterms:created>
  <dcterms:modified xsi:type="dcterms:W3CDTF">2024-01-02T14:27:00Z</dcterms:modified>
</cp:coreProperties>
</file>