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B1" w:rsidRDefault="00787E5D">
      <w:pPr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 до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документації</w:t>
      </w:r>
      <w:proofErr w:type="spellEnd"/>
    </w:p>
    <w:p w:rsidR="001855B1" w:rsidRDefault="001855B1">
      <w:pPr>
        <w:keepNext/>
        <w:spacing w:before="40"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1855B1" w:rsidRDefault="00787E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ІНФОРМАЦІЯ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55B1" w:rsidRDefault="00787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ІЧНІ, ЯКІСНІ ТА КІЛЬКІСНІ</w:t>
      </w:r>
    </w:p>
    <w:p w:rsidR="001855B1" w:rsidRDefault="00787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ХАРАКТЕРИСТИКИ ПРЕДМЕТА ЗАКУПІ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І </w:t>
      </w:r>
    </w:p>
    <w:p w:rsidR="001855B1" w:rsidRDefault="00787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</w:rPr>
        <w:t>ічна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1855B1" w:rsidRDefault="00787E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7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Усі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посилання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конкретні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конкретний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процес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послугу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певного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суб’єкта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7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торгові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патенти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типи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конкретне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читати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вираз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4"/>
        </w:rPr>
        <w:t>еквів</w:t>
      </w:r>
      <w:r>
        <w:rPr>
          <w:rFonts w:ascii="Times New Roman" w:eastAsia="Times New Roman" w:hAnsi="Times New Roman" w:cs="Times New Roman"/>
          <w:i/>
          <w:spacing w:val="7"/>
          <w:sz w:val="24"/>
        </w:rPr>
        <w:t>алент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</w:rPr>
        <w:t>».</w:t>
      </w:r>
    </w:p>
    <w:p w:rsidR="001855B1" w:rsidRPr="00787E5D" w:rsidRDefault="00787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Цибуля,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Морква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Буряк, Капуста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качанна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Огірки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іжі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Помідори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свіжі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Перець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солодкий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Яблука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Банани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Груші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Лимони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Апельсини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Мандарини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, </w:t>
      </w:r>
      <w:r w:rsidRPr="00787E5D">
        <w:rPr>
          <w:rFonts w:ascii="Times New Roman" w:eastAsia="Times New Roman" w:hAnsi="Times New Roman" w:cs="Times New Roman"/>
          <w:b/>
          <w:sz w:val="28"/>
          <w:lang w:val="uk-UA"/>
        </w:rPr>
        <w:t>Гарбуз, Капуста цвітна</w:t>
      </w:r>
    </w:p>
    <w:p w:rsidR="001855B1" w:rsidRDefault="00787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(ДК 021:2015: 03220000-9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Овочі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фрукти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горіхи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1855B1" w:rsidRDefault="00787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4"/>
        </w:rPr>
      </w:pPr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абзацом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першим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ць</w:t>
      </w:r>
      <w:r>
        <w:rPr>
          <w:rFonts w:ascii="Times New Roman" w:eastAsia="Times New Roman" w:hAnsi="Times New Roman" w:cs="Times New Roman"/>
          <w:b/>
          <w:spacing w:val="7"/>
          <w:sz w:val="24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пункту,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установлювати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b/>
          <w:spacing w:val="7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b/>
          <w:spacing w:val="7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національним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стандартом (за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стандарту для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>)</w:t>
      </w:r>
    </w:p>
    <w:p w:rsidR="001855B1" w:rsidRDefault="001855B1">
      <w:pPr>
        <w:spacing w:before="60" w:after="0" w:line="240" w:lineRule="auto"/>
        <w:rPr>
          <w:rFonts w:ascii="Times New Roman" w:eastAsia="Times New Roman" w:hAnsi="Times New Roman" w:cs="Times New Roman"/>
          <w:b/>
          <w:sz w:val="10"/>
          <w:shd w:val="clear" w:color="auto" w:fill="FFFFFF"/>
        </w:rPr>
      </w:pPr>
    </w:p>
    <w:p w:rsidR="001855B1" w:rsidRDefault="00787E5D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ічні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характеристики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1855B1" w:rsidRDefault="00787E5D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складі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пропонує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продукцію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урожаю 2023-2024 року</w:t>
      </w:r>
    </w:p>
    <w:p w:rsidR="001855B1" w:rsidRDefault="001855B1">
      <w:pPr>
        <w:spacing w:before="60" w:after="0" w:line="240" w:lineRule="auto"/>
        <w:rPr>
          <w:rFonts w:ascii="Times New Roman" w:eastAsia="Times New Roman" w:hAnsi="Times New Roman" w:cs="Times New Roman"/>
          <w:b/>
          <w:sz w:val="12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1"/>
        <w:gridCol w:w="3575"/>
        <w:gridCol w:w="2026"/>
        <w:gridCol w:w="1879"/>
      </w:tblGrid>
      <w:tr w:rsidR="001855B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keepNext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1855B1" w:rsidRDefault="00787E5D">
            <w:pPr>
              <w:keepNext/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keepNext/>
              <w:spacing w:after="0" w:line="26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55B1" w:rsidRDefault="00787E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виміру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55B1" w:rsidRDefault="00787E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855B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keepNext/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5B1" w:rsidRDefault="00787E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Цибуля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55B1" w:rsidRDefault="00787E5D">
            <w:pPr>
              <w:spacing w:after="0" w:line="240" w:lineRule="auto"/>
              <w:ind w:left="-108" w:right="-10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</w:tr>
      <w:tr w:rsidR="001855B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keepNext/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5B1" w:rsidRDefault="00787E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Морква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</w:tr>
      <w:tr w:rsidR="001855B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keepNext/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5B1" w:rsidRDefault="00787E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Буряк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 w:rsidP="00787E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</w:tr>
      <w:tr w:rsidR="001855B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keepNext/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5B1" w:rsidRDefault="00787E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Капуста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качанна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 w:rsidP="00787E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</w:tr>
      <w:tr w:rsidR="001855B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keepNext/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5B1" w:rsidRDefault="00787E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Огірки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1855B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keepNext/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5B1" w:rsidRDefault="00787E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Помідори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1855B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keepNext/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5B1" w:rsidRDefault="00787E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солодкий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 w:rsidP="00787E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1855B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keepNext/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5B1" w:rsidRDefault="00787E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Яблука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</w:tr>
      <w:tr w:rsidR="001855B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keepNext/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5B1" w:rsidRDefault="00787E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Банани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</w:tr>
      <w:tr w:rsidR="001855B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keepNext/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5B1" w:rsidRDefault="00787E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Груші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1855B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keepNext/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5B1" w:rsidRDefault="00787E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Лимони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1855B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keepNext/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5B1" w:rsidRDefault="00787E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Апельсини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 w:rsidP="00787E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300</w:t>
            </w:r>
          </w:p>
        </w:tc>
      </w:tr>
      <w:tr w:rsidR="001855B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keepNext/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5B1" w:rsidRDefault="00787E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Мандарини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55B1" w:rsidRDefault="00787E5D" w:rsidP="00787E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300</w:t>
            </w:r>
          </w:p>
        </w:tc>
      </w:tr>
      <w:tr w:rsidR="00787E5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7E5D" w:rsidRPr="00787E5D" w:rsidRDefault="00787E5D">
            <w:pPr>
              <w:keepNext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7E5D" w:rsidRPr="00787E5D" w:rsidRDefault="007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Гарбуз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7E5D" w:rsidRPr="00787E5D" w:rsidRDefault="007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кг.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7E5D" w:rsidRDefault="00787E5D" w:rsidP="007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50</w:t>
            </w:r>
          </w:p>
        </w:tc>
      </w:tr>
      <w:tr w:rsidR="00787E5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7E5D" w:rsidRPr="00787E5D" w:rsidRDefault="00787E5D">
            <w:pPr>
              <w:keepNext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7E5D" w:rsidRPr="00787E5D" w:rsidRDefault="007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Капуста цвітна</w:t>
            </w:r>
            <w:bookmarkStart w:id="0" w:name="_GoBack"/>
            <w:bookmarkEnd w:id="0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7E5D" w:rsidRDefault="007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87E5D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gramEnd"/>
            <w:r w:rsidRPr="00787E5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7E5D" w:rsidRDefault="00787E5D" w:rsidP="007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50</w:t>
            </w:r>
          </w:p>
        </w:tc>
      </w:tr>
    </w:tbl>
    <w:p w:rsidR="001855B1" w:rsidRDefault="0018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855B1" w:rsidRDefault="0078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2.1.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ічні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характеристики предмету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1855B1" w:rsidRDefault="0078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Овочі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вирощені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природних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перевищеного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вмісту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хімічних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речовин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типові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ботанічного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сорту форму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колір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чисті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здорові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зайвої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зовнішньої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вологості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незів’ялі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непророслі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очищені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землі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механічних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пошкоджень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пошкод</w:t>
      </w:r>
      <w:r>
        <w:rPr>
          <w:rFonts w:ascii="Times New Roman" w:eastAsia="Times New Roman" w:hAnsi="Times New Roman" w:cs="Times New Roman"/>
          <w:color w:val="000000"/>
          <w:sz w:val="24"/>
        </w:rPr>
        <w:t>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шкідниками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Колі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виду,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плямистості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Смак, запах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сторонніх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домішок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Зрілі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щільною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шкіркою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ознак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гнилизни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існіви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Фасування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сітки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855B1" w:rsidRDefault="0078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Фрукти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вирощені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природних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перевищеного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вмісту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хімічних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речовин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типові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ботанічного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сорту форму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колір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чисті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здорові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зайвої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зовнішньої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вологості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незів’ялі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механічних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пошкоджень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пошкоджень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шкідниками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Колі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відповід</w:t>
      </w:r>
      <w:r>
        <w:rPr>
          <w:rFonts w:ascii="Times New Roman" w:eastAsia="Times New Roman" w:hAnsi="Times New Roman" w:cs="Times New Roman"/>
          <w:color w:val="000000"/>
          <w:sz w:val="24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виду,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плямистості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Смак, запах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сторонніх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домішок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Зрілі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щільною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шкіркою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ознак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гнилизни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існіви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Фасування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ящик, коробка. </w:t>
      </w:r>
    </w:p>
    <w:p w:rsidR="001855B1" w:rsidRDefault="0078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пакування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маркування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</w:t>
      </w:r>
      <w:r>
        <w:rPr>
          <w:rFonts w:ascii="Times New Roman" w:eastAsia="Times New Roman" w:hAnsi="Times New Roman" w:cs="Times New Roman"/>
          <w:sz w:val="24"/>
        </w:rPr>
        <w:t>живачів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безпечності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ДСТУ 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ТУ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зроблений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продукт.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маркуванні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повинно бути </w:t>
      </w:r>
      <w:proofErr w:type="spellStart"/>
      <w:r>
        <w:rPr>
          <w:rFonts w:ascii="Times New Roman" w:eastAsia="Times New Roman" w:hAnsi="Times New Roman" w:cs="Times New Roman"/>
          <w:sz w:val="24"/>
        </w:rPr>
        <w:t>чітко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зазначено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алерген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sz w:val="24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генно-</w:t>
      </w:r>
      <w:proofErr w:type="spellStart"/>
      <w:r>
        <w:rPr>
          <w:rFonts w:ascii="Times New Roman" w:eastAsia="Times New Roman" w:hAnsi="Times New Roman" w:cs="Times New Roman"/>
          <w:sz w:val="24"/>
        </w:rPr>
        <w:t>модифіков</w:t>
      </w:r>
      <w:r>
        <w:rPr>
          <w:rFonts w:ascii="Times New Roman" w:eastAsia="Times New Roman" w:hAnsi="Times New Roman" w:cs="Times New Roman"/>
          <w:sz w:val="24"/>
        </w:rPr>
        <w:t>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організмів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позначення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ідентифікує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продукт.</w:t>
      </w:r>
    </w:p>
    <w:p w:rsidR="001855B1" w:rsidRDefault="0078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Упаковка товару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картонні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пластикові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ящики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складові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(перегородки, прокладки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повинна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діючим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державним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стандартам  і правилам,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забезпечув</w:t>
      </w:r>
      <w:r>
        <w:rPr>
          <w:rFonts w:ascii="Times New Roman" w:eastAsia="Times New Roman" w:hAnsi="Times New Roman" w:cs="Times New Roman"/>
          <w:color w:val="000000"/>
          <w:sz w:val="24"/>
        </w:rPr>
        <w:t>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пошкодження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завантаження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поставки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відвантаження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</w:p>
    <w:p w:rsidR="001855B1" w:rsidRDefault="0078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</w:rPr>
        <w:t>ічні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характеристики предмету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показникам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безпечності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нормативним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документам,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порядку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безпечності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23.12.1997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771/97-ВР (</w:t>
      </w:r>
      <w:proofErr w:type="spellStart"/>
      <w:r>
        <w:rPr>
          <w:rFonts w:ascii="Times New Roman" w:eastAsia="Times New Roman" w:hAnsi="Times New Roman" w:cs="Times New Roman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постанові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КМУ «Про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</w:t>
      </w:r>
      <w:r>
        <w:rPr>
          <w:rFonts w:ascii="Times New Roman" w:eastAsia="Times New Roman" w:hAnsi="Times New Roman" w:cs="Times New Roman"/>
          <w:sz w:val="24"/>
        </w:rPr>
        <w:t>вердження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норм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та Порядку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закладах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дитячих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закладах </w:t>
      </w:r>
      <w:proofErr w:type="spellStart"/>
      <w:r>
        <w:rPr>
          <w:rFonts w:ascii="Times New Roman" w:eastAsia="Times New Roman" w:hAnsi="Times New Roman" w:cs="Times New Roman"/>
          <w:sz w:val="24"/>
        </w:rPr>
        <w:t>оздоровлення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відпочинку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24.03.2021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305; Наказу </w:t>
      </w:r>
      <w:proofErr w:type="spellStart"/>
      <w:r>
        <w:rPr>
          <w:rFonts w:ascii="Times New Roman" w:eastAsia="Times New Roman" w:hAnsi="Times New Roman" w:cs="Times New Roman"/>
          <w:sz w:val="24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24.03.2016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234 «Про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Санітарного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регламенту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дошкільн</w:t>
      </w:r>
      <w:r>
        <w:rPr>
          <w:rFonts w:ascii="Times New Roman" w:eastAsia="Times New Roman" w:hAnsi="Times New Roman" w:cs="Times New Roman"/>
          <w:sz w:val="24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ГОСТ, ДСТУ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ТУ,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1855B1" w:rsidRDefault="0018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55B1" w:rsidRDefault="00787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повинен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наступні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чинні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 дату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1855B1" w:rsidRDefault="00787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декларація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gramStart"/>
      <w:r>
        <w:rPr>
          <w:rFonts w:ascii="Times New Roman" w:eastAsia="Times New Roman" w:hAnsi="Times New Roman" w:cs="Times New Roman"/>
          <w:sz w:val="24"/>
        </w:rPr>
        <w:t>сне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посвідчення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сертифікат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товар,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пропонується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5B1" w:rsidRDefault="00787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позитивний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Акт аудиту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заходу </w:t>
      </w:r>
      <w:proofErr w:type="gramStart"/>
      <w:r>
        <w:rPr>
          <w:rFonts w:ascii="Times New Roman" w:eastAsia="Times New Roman" w:hAnsi="Times New Roman" w:cs="Times New Roman"/>
          <w:sz w:val="24"/>
        </w:rPr>
        <w:t>державного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контролю у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аудиту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діючих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процедур,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заснованих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принципах НАССР. Акт </w:t>
      </w:r>
      <w:proofErr w:type="gramStart"/>
      <w:r>
        <w:rPr>
          <w:rFonts w:ascii="Times New Roman" w:eastAsia="Times New Roman" w:hAnsi="Times New Roman" w:cs="Times New Roman"/>
          <w:sz w:val="24"/>
        </w:rPr>
        <w:t>повинен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компетентним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органом,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реалізує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політику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безпечності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показників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5B1" w:rsidRDefault="00787E5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позитивний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Акт,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складений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планового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позапланового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 заходу державног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 контролю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інспектування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стосовно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додержання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операторами ринку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харчові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продукти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 корми,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благополуччя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тварин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Акт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повинен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складений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компетентним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органом,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реалізує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політику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безпечності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окрем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показників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1855B1" w:rsidRDefault="00787E5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довільній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наявний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транспортний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засіб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 документ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ідтверджуючий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даний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транспорт,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санітарного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паспорту на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спеціалізований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автомобіль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дійсного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пропо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зиції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яким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здійснюватись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товару;</w:t>
      </w:r>
    </w:p>
    <w:p w:rsidR="001855B1" w:rsidRDefault="00787E5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документальне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дезінфекції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транспортного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засобу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задіяному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доставці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харчового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продукту до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дезінфекції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останній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1855B1" w:rsidRDefault="00787E5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санітарної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книжки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водія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експедитора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1855B1" w:rsidRDefault="00787E5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позитивний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транспортного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засобу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складеного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 результатами планового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позапланового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заходу державного контролю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стосовно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додержання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оператором ринку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гі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ієнічних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поводження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харчов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продуктами (без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невідповідностей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). Акт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повинен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складений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компетентним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органом,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реалізує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політику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безпечності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показників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Даний Акт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відомостей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транспортного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засобу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Акті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складеному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планового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позапланового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 заходу державного контролю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інспектування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стосовно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додержання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операторами ринку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харчові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продукти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 корми,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благополу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ччя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тварин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1855B1" w:rsidRDefault="00787E5D">
      <w:pPr>
        <w:spacing w:after="6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наказу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присвоєння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особистого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реєстраційного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номеру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виданого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управлінням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уповноваженим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органом,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лист в </w:t>
      </w:r>
      <w:proofErr w:type="spellStart"/>
      <w:r>
        <w:rPr>
          <w:rFonts w:ascii="Times New Roman" w:eastAsia="Times New Roman" w:hAnsi="Times New Roman" w:cs="Times New Roman"/>
          <w:sz w:val="24"/>
        </w:rPr>
        <w:t>довільній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ідписом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зав</w:t>
      </w:r>
      <w:r>
        <w:rPr>
          <w:rFonts w:ascii="Times New Roman" w:eastAsia="Times New Roman" w:hAnsi="Times New Roman" w:cs="Times New Roman"/>
          <w:sz w:val="24"/>
        </w:rPr>
        <w:t>ірений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печаткою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в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присвоєння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особистого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реєстраційного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номеру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(в такому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листі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особистий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 CYR" w:eastAsia="Times New Roman CYR" w:hAnsi="Times New Roman CYR" w:cs="Times New Roman CYR"/>
          <w:sz w:val="24"/>
        </w:rPr>
        <w:t>;</w:t>
      </w:r>
    </w:p>
    <w:p w:rsidR="001855B1" w:rsidRDefault="00787E5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(оператор ринку) повинен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z w:val="24"/>
        </w:rPr>
        <w:t>тужності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видано </w:t>
      </w:r>
      <w:proofErr w:type="spellStart"/>
      <w:r>
        <w:rPr>
          <w:rFonts w:ascii="Times New Roman" w:eastAsia="Times New Roman" w:hAnsi="Times New Roman" w:cs="Times New Roman"/>
          <w:sz w:val="24"/>
        </w:rPr>
        <w:t>експлуатаційний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дозвіл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безпечності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855B1" w:rsidRDefault="00787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виробником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експлуатаційний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дозвіл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(оператор ринку) повинен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пройшли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безпечності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та наказу </w:t>
      </w:r>
      <w:proofErr w:type="spellStart"/>
      <w:r>
        <w:rPr>
          <w:rFonts w:ascii="Times New Roman" w:eastAsia="Times New Roman" w:hAnsi="Times New Roman" w:cs="Times New Roman"/>
          <w:sz w:val="24"/>
        </w:rPr>
        <w:t>Мін</w:t>
      </w:r>
      <w:r>
        <w:rPr>
          <w:rFonts w:ascii="Times New Roman" w:eastAsia="Times New Roman" w:hAnsi="Times New Roman" w:cs="Times New Roman"/>
          <w:sz w:val="24"/>
        </w:rPr>
        <w:t>агрополітики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продовольства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39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10.02.2016р. «Про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потужностей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потужностей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операторі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ринку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заінтересованим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суб’єктам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1855B1" w:rsidRDefault="0018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55B1" w:rsidRDefault="0078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** </w:t>
      </w:r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повинен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норм чинного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якийсь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вказаних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документ, то </w:t>
      </w:r>
      <w:proofErr w:type="spellStart"/>
      <w:r>
        <w:rPr>
          <w:rFonts w:ascii="Times New Roman" w:eastAsia="Times New Roman" w:hAnsi="Times New Roman" w:cs="Times New Roman"/>
          <w:sz w:val="24"/>
        </w:rPr>
        <w:t>він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лист-</w:t>
      </w:r>
      <w:proofErr w:type="spellStart"/>
      <w:r>
        <w:rPr>
          <w:rFonts w:ascii="Times New Roman" w:eastAsia="Times New Roman" w:hAnsi="Times New Roman" w:cs="Times New Roman"/>
          <w:sz w:val="24"/>
        </w:rPr>
        <w:t>роз’яснення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довільній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зазначає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законодавчі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ідстави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ненадання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/ї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роз'яснення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855B1" w:rsidRDefault="0018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855B1" w:rsidRDefault="00787E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2.3.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продуктів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харчування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:</w:t>
      </w:r>
    </w:p>
    <w:p w:rsidR="001855B1" w:rsidRDefault="0078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перевезення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виробники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дотримувати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ст. </w:t>
      </w:r>
      <w:r>
        <w:rPr>
          <w:rFonts w:ascii="Times New Roman" w:eastAsia="Times New Roman" w:hAnsi="Times New Roman" w:cs="Times New Roman"/>
          <w:sz w:val="24"/>
        </w:rPr>
        <w:t>44 «</w:t>
      </w:r>
      <w:proofErr w:type="spellStart"/>
      <w:r>
        <w:rPr>
          <w:rFonts w:ascii="Times New Roman" w:eastAsia="Times New Roman" w:hAnsi="Times New Roman" w:cs="Times New Roman"/>
          <w:sz w:val="24"/>
        </w:rPr>
        <w:t>Гігієнічні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Закону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безпечності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 </w:t>
      </w:r>
    </w:p>
    <w:p w:rsidR="001855B1" w:rsidRDefault="00787E5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Товар повинен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транспортуватися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спеціалізованому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транспорті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обладнаний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холодильним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обладнанням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відповідною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температурою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стандартами. </w:t>
      </w:r>
    </w:p>
    <w:p w:rsidR="001855B1" w:rsidRDefault="00787E5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Товар,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закуповується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повинен </w:t>
      </w:r>
      <w:proofErr w:type="spellStart"/>
      <w:r>
        <w:rPr>
          <w:rFonts w:ascii="Times New Roman" w:eastAsia="Times New Roman" w:hAnsi="Times New Roman" w:cs="Times New Roman"/>
          <w:sz w:val="24"/>
        </w:rPr>
        <w:t>супроводжуватися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товарно-транспортною накладною,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посвідченням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декларацією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яку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оператори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ринку,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виробництво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документах повинна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міститися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; дата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видачі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потужностей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експлуатаційного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адреса та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експлуатаційного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вантажоодержувача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продукту; </w:t>
      </w:r>
      <w:proofErr w:type="spellStart"/>
      <w:r>
        <w:rPr>
          <w:rFonts w:ascii="Times New Roman" w:eastAsia="Times New Roman" w:hAnsi="Times New Roman" w:cs="Times New Roman"/>
          <w:sz w:val="24"/>
        </w:rPr>
        <w:t>одиниці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дата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дата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випуску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холодильнику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– </w:t>
      </w:r>
      <w:r>
        <w:rPr>
          <w:rFonts w:ascii="Times New Roman" w:eastAsia="Times New Roman" w:hAnsi="Times New Roman" w:cs="Times New Roman"/>
          <w:sz w:val="24"/>
        </w:rPr>
        <w:t xml:space="preserve">температура, 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вологість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нормативного документа продукт </w:t>
      </w:r>
      <w:proofErr w:type="spellStart"/>
      <w:r>
        <w:rPr>
          <w:rFonts w:ascii="Times New Roman" w:eastAsia="Times New Roman" w:hAnsi="Times New Roman" w:cs="Times New Roman"/>
          <w:sz w:val="24"/>
        </w:rPr>
        <w:t>виготовлений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(ДСТУ, ТУ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.); </w:t>
      </w:r>
      <w:proofErr w:type="spellStart"/>
      <w:r>
        <w:rPr>
          <w:rFonts w:ascii="Times New Roman" w:eastAsia="Times New Roman" w:hAnsi="Times New Roman" w:cs="Times New Roman"/>
          <w:sz w:val="24"/>
        </w:rPr>
        <w:t>ґатунок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категорія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органолептична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оцінка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855B1" w:rsidRDefault="00787E5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Товар,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повинен бути без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синтетичних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барвників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аромати</w:t>
      </w:r>
      <w:r>
        <w:rPr>
          <w:rFonts w:ascii="Times New Roman" w:eastAsia="Times New Roman" w:hAnsi="Times New Roman" w:cs="Times New Roman"/>
          <w:color w:val="00000A"/>
          <w:sz w:val="24"/>
        </w:rPr>
        <w:t>заторів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ідсилювачів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смаку,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підсолоджувачів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консервантів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та ГМО. Для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товару при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постачанні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кожна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партія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супроводжуватися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декларацією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посвідченням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1855B1" w:rsidRDefault="00787E5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пакування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маркування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відпов</w:t>
      </w:r>
      <w:r>
        <w:rPr>
          <w:rFonts w:ascii="Times New Roman" w:eastAsia="Times New Roman" w:hAnsi="Times New Roman" w:cs="Times New Roman"/>
          <w:color w:val="00000A"/>
          <w:sz w:val="24"/>
        </w:rPr>
        <w:t>ідати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законів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споживачів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принципи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безпечності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», ДСТУ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ТУ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якого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зроблений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продукт. На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маркуванні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повинно бути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чітко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зазначено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алерг</w:t>
      </w:r>
      <w:r>
        <w:rPr>
          <w:rFonts w:ascii="Times New Roman" w:eastAsia="Times New Roman" w:hAnsi="Times New Roman" w:cs="Times New Roman"/>
          <w:color w:val="00000A"/>
          <w:sz w:val="24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наявність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генно-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модифікованих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організмів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ідентифікує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партію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якої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належить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такий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харчовий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продукт.</w:t>
      </w:r>
    </w:p>
    <w:p w:rsidR="001855B1" w:rsidRDefault="00787E5D">
      <w:pPr>
        <w:numPr>
          <w:ilvl w:val="0"/>
          <w:numId w:val="1"/>
        </w:numPr>
        <w:tabs>
          <w:tab w:val="left" w:pos="360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Тара повинна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забезпечувати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цілісність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транспортуванні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(упаковки) включено в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z w:val="24"/>
        </w:rPr>
        <w:t>гальну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 Тара (упаковка) – </w:t>
      </w:r>
      <w:proofErr w:type="spellStart"/>
      <w:r>
        <w:rPr>
          <w:rFonts w:ascii="Times New Roman" w:eastAsia="Times New Roman" w:hAnsi="Times New Roman" w:cs="Times New Roman"/>
          <w:sz w:val="24"/>
        </w:rPr>
        <w:t>незворотна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855B1" w:rsidRDefault="00787E5D">
      <w:pPr>
        <w:numPr>
          <w:ilvl w:val="0"/>
          <w:numId w:val="1"/>
        </w:numPr>
        <w:tabs>
          <w:tab w:val="left" w:pos="36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Водій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автотранспорту, а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супроводжують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особисті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медичні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книжки.</w:t>
      </w:r>
    </w:p>
    <w:p w:rsidR="001855B1" w:rsidRDefault="00787E5D">
      <w:pPr>
        <w:numPr>
          <w:ilvl w:val="0"/>
          <w:numId w:val="1"/>
        </w:numPr>
        <w:tabs>
          <w:tab w:val="left" w:pos="36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Гарантія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строку,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виробником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товару,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вказаного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упаковц</w:t>
      </w:r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 Товар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терміном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придатності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ніж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90%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загального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терміну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момент поставки.</w:t>
      </w:r>
    </w:p>
    <w:p w:rsidR="001855B1" w:rsidRDefault="00787E5D">
      <w:pPr>
        <w:numPr>
          <w:ilvl w:val="0"/>
          <w:numId w:val="1"/>
        </w:numPr>
        <w:tabs>
          <w:tab w:val="left" w:pos="36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Доставка 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ісця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навантаження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розвантаження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тран</w:t>
      </w:r>
      <w:r>
        <w:rPr>
          <w:rFonts w:ascii="Times New Roman" w:eastAsia="Times New Roman" w:hAnsi="Times New Roman" w:cs="Times New Roman"/>
          <w:sz w:val="24"/>
        </w:rPr>
        <w:t>спортом.</w:t>
      </w:r>
    </w:p>
    <w:p w:rsidR="001855B1" w:rsidRDefault="00787E5D">
      <w:pPr>
        <w:numPr>
          <w:ilvl w:val="0"/>
          <w:numId w:val="1"/>
        </w:numPr>
        <w:tabs>
          <w:tab w:val="left" w:pos="360"/>
          <w:tab w:val="left" w:pos="0"/>
          <w:tab w:val="left" w:pos="284"/>
          <w:tab w:val="left" w:pos="3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Продукція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поставляється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заявок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1855B1" w:rsidRDefault="001855B1">
      <w:pPr>
        <w:tabs>
          <w:tab w:val="left" w:pos="284"/>
          <w:tab w:val="left" w:pos="3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1855B1" w:rsidRDefault="00787E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відмови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Замовника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продукції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продукція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 не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показникам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безпечності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значні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забруднення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наявними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залишками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слизу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зайвою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зовнішньою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вологістю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зів’ялістю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пророслю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механічними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пошкодженнями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пошкодженнями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шкідниками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невідповідним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плямистостим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кольором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незрілі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ознаками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гнилизни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існяви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пошкодженою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упаковкою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присутнім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стороннім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запахом, </w:t>
      </w:r>
      <w:proofErr w:type="spellStart"/>
      <w:r>
        <w:rPr>
          <w:rFonts w:ascii="Times New Roman" w:eastAsia="Times New Roman" w:hAnsi="Times New Roman" w:cs="Times New Roman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ознаками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псування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:rsidR="001855B1" w:rsidRDefault="0018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</w:pPr>
    </w:p>
    <w:p w:rsidR="001855B1" w:rsidRDefault="00787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Місце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 та строк поставки: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1855B1" w:rsidRDefault="00787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40020,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проспект Перемоги, 49</w:t>
      </w:r>
    </w:p>
    <w:p w:rsidR="001855B1" w:rsidRDefault="00787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Строк поставки: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2024 року до 31.12.2024 року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включно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Заявок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тижня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понеділка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п’ятницю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щоденно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до 6 год. 30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хв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</w:t>
      </w:r>
    </w:p>
    <w:p w:rsidR="001855B1" w:rsidRDefault="00787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Обсяг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кожної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поставки –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заявками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без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обмеження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розміру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мінімального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  </w:t>
      </w:r>
    </w:p>
    <w:p w:rsidR="001855B1" w:rsidRDefault="0078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Заявки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формі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електронною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поштою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зазначенцу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реквізитах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Договору.</w:t>
      </w:r>
    </w:p>
    <w:p w:rsidR="001855B1" w:rsidRDefault="00787E5D">
      <w:pPr>
        <w:tabs>
          <w:tab w:val="left" w:pos="0"/>
          <w:tab w:val="left" w:pos="720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Заявка на поставку товару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подається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Замовник</w:t>
      </w:r>
      <w:r>
        <w:rPr>
          <w:rFonts w:ascii="Times New Roman" w:eastAsia="Times New Roman" w:hAnsi="Times New Roman" w:cs="Times New Roman"/>
          <w:color w:val="00000A"/>
          <w:sz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Учаснику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один раз у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тиждень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визначенням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асортименту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товару на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наступний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тиждень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коригування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поданої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заявки, але 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ізніше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за один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робочий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день до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поставки Товару.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Коригування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заявки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тій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самій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формі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подача.  </w:t>
      </w:r>
    </w:p>
    <w:p w:rsidR="001855B1" w:rsidRDefault="00185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</w:rPr>
      </w:pPr>
    </w:p>
    <w:p w:rsidR="001855B1" w:rsidRDefault="0078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характеристики,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техн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 товарами,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</w:rPr>
        <w:t>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стандартами, нормами та правилами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вживаються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значенні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«….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1855B1" w:rsidRDefault="00787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вживаються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значенні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«….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1855B1" w:rsidRDefault="001855B1">
      <w:pPr>
        <w:tabs>
          <w:tab w:val="center" w:pos="4845"/>
          <w:tab w:val="left" w:pos="8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18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481E"/>
    <w:multiLevelType w:val="multilevel"/>
    <w:tmpl w:val="BA96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5B1"/>
    <w:rsid w:val="001855B1"/>
    <w:rsid w:val="007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1822</Words>
  <Characters>10389</Characters>
  <Application>Microsoft Office Word</Application>
  <DocSecurity>0</DocSecurity>
  <Lines>86</Lines>
  <Paragraphs>24</Paragraphs>
  <ScaleCrop>false</ScaleCrop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2024-01-02T14:27:00Z</dcterms:created>
  <dcterms:modified xsi:type="dcterms:W3CDTF">2024-01-02T14:29:00Z</dcterms:modified>
</cp:coreProperties>
</file>